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011883" w:rsidRPr="007151BC" w:rsidRDefault="00122D15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151BC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011883" w:rsidRPr="007151BC" w:rsidRDefault="00011883" w:rsidP="0001188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11883" w:rsidRPr="007151BC" w:rsidRDefault="0029613B" w:rsidP="00011883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961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25.09.2020</w:t>
      </w:r>
      <w:r w:rsidR="00011883" w:rsidRPr="007151BC">
        <w:rPr>
          <w:rFonts w:ascii="Times New Roman" w:eastAsia="Times New Roman" w:hAnsi="Times New Roman"/>
          <w:sz w:val="28"/>
          <w:szCs w:val="28"/>
          <w:lang w:eastAsia="ru-RU"/>
        </w:rPr>
        <w:t xml:space="preserve">____                                            </w:t>
      </w:r>
      <w:r w:rsidR="001427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11883" w:rsidRPr="00715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513</w:t>
      </w:r>
      <w:bookmarkStart w:id="0" w:name="_GoBack"/>
      <w:bookmarkEnd w:id="0"/>
      <w:r w:rsidR="00011883" w:rsidRPr="007151B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011883" w:rsidRPr="007151BC" w:rsidRDefault="00011883" w:rsidP="00011883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14279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. Токсово</w:t>
      </w:r>
      <w:r w:rsidRPr="007151BC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№_</w:t>
      </w:r>
    </w:p>
    <w:p w:rsidR="00EA050F" w:rsidRDefault="00EA050F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883" w:rsidRPr="00011883" w:rsidRDefault="00011883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О создании и организации системы</w:t>
      </w:r>
    </w:p>
    <w:p w:rsidR="00011883" w:rsidRPr="00011883" w:rsidRDefault="00011883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внутреннего обеспечения соответствия</w:t>
      </w:r>
    </w:p>
    <w:p w:rsidR="00011883" w:rsidRPr="00011883" w:rsidRDefault="00011883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требованиям антимонопольного</w:t>
      </w:r>
    </w:p>
    <w:p w:rsidR="00011883" w:rsidRPr="00011883" w:rsidRDefault="00011883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законодательства</w:t>
      </w:r>
    </w:p>
    <w:p w:rsidR="00011883" w:rsidRPr="00011883" w:rsidRDefault="00011883" w:rsidP="0001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11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0118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области, администрация муниципального образования</w:t>
      </w:r>
      <w:r w:rsidRPr="00011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0118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области, </w:t>
      </w:r>
    </w:p>
    <w:p w:rsidR="00011883" w:rsidRPr="00011883" w:rsidRDefault="00011883" w:rsidP="001427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011883" w:rsidRPr="00011883" w:rsidRDefault="00011883" w:rsidP="001427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1883" w:rsidRP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 xml:space="preserve"> 1.  Создать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11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0118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011883">
        <w:rPr>
          <w:rFonts w:ascii="Times New Roman" w:hAnsi="Times New Roman"/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законодательства.</w:t>
      </w:r>
    </w:p>
    <w:p w:rsidR="00011883" w:rsidRPr="00011883" w:rsidRDefault="00011883" w:rsidP="001427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11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0118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011883">
        <w:rPr>
          <w:rFonts w:ascii="Times New Roman" w:hAnsi="Times New Roman"/>
          <w:sz w:val="28"/>
          <w:szCs w:val="28"/>
        </w:rPr>
        <w:t>, согласно приложению.</w:t>
      </w:r>
    </w:p>
    <w:p w:rsidR="00011883" w:rsidRP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3.</w:t>
      </w:r>
      <w:r w:rsidR="00EA050F">
        <w:rPr>
          <w:rFonts w:ascii="Times New Roman" w:hAnsi="Times New Roman"/>
          <w:sz w:val="28"/>
          <w:szCs w:val="28"/>
        </w:rPr>
        <w:t xml:space="preserve"> </w:t>
      </w:r>
      <w:r w:rsidRPr="0001188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118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0118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01188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0118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011883">
        <w:rPr>
          <w:rFonts w:ascii="Times New Roman" w:hAnsi="Times New Roman"/>
          <w:sz w:val="28"/>
          <w:szCs w:val="28"/>
        </w:rPr>
        <w:t xml:space="preserve">.2020 года № </w:t>
      </w:r>
      <w:r>
        <w:rPr>
          <w:rFonts w:ascii="Times New Roman" w:hAnsi="Times New Roman"/>
          <w:sz w:val="28"/>
          <w:szCs w:val="28"/>
        </w:rPr>
        <w:t>321</w:t>
      </w:r>
      <w:r w:rsidRPr="00011883">
        <w:rPr>
          <w:rFonts w:ascii="Times New Roman" w:hAnsi="Times New Roman"/>
          <w:sz w:val="28"/>
          <w:szCs w:val="28"/>
        </w:rPr>
        <w:t xml:space="preserve"> «О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883">
        <w:rPr>
          <w:rFonts w:ascii="Times New Roman" w:hAnsi="Times New Roman"/>
          <w:sz w:val="28"/>
          <w:szCs w:val="28"/>
        </w:rPr>
        <w:t xml:space="preserve">и организации </w:t>
      </w:r>
      <w:r w:rsidRPr="00011883">
        <w:rPr>
          <w:rFonts w:ascii="Times New Roman" w:hAnsi="Times New Roman"/>
          <w:sz w:val="28"/>
          <w:szCs w:val="28"/>
        </w:rPr>
        <w:lastRenderedPageBreak/>
        <w:t>системы внутреннего обеспечения соответствия требованиям антимонопольного законодательства».</w:t>
      </w:r>
    </w:p>
    <w:p w:rsidR="00011883" w:rsidRP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4.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Вести Токсово</w:t>
      </w:r>
      <w:r w:rsidRPr="00011883">
        <w:rPr>
          <w:rFonts w:ascii="Times New Roman" w:hAnsi="Times New Roman"/>
          <w:sz w:val="28"/>
          <w:szCs w:val="28"/>
        </w:rPr>
        <w:t>» и разместить на официальном сайте администрации в сети Интернет.</w:t>
      </w:r>
    </w:p>
    <w:p w:rsidR="00011883" w:rsidRP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83">
        <w:rPr>
          <w:rFonts w:ascii="Times New Roman" w:hAnsi="Times New Roman"/>
          <w:sz w:val="28"/>
          <w:szCs w:val="28"/>
        </w:rPr>
        <w:t>6. Контроль за исполнением постановления оставляю за собой.</w:t>
      </w:r>
    </w:p>
    <w:p w:rsidR="00011883" w:rsidRDefault="00011883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42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11883" w:rsidTr="00142790">
        <w:tc>
          <w:tcPr>
            <w:tcW w:w="2500" w:type="pct"/>
          </w:tcPr>
          <w:p w:rsidR="00011883" w:rsidRDefault="00011883" w:rsidP="00142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879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2500" w:type="pct"/>
          </w:tcPr>
          <w:p w:rsidR="00011883" w:rsidRDefault="00011883" w:rsidP="001427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Кузьмин</w:t>
            </w:r>
          </w:p>
        </w:tc>
      </w:tr>
    </w:tbl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D0285A" w:rsidRDefault="00D0285A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  <w:sectPr w:rsidR="00EA050F" w:rsidSect="00142790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142790" w:rsidRDefault="00142790" w:rsidP="00011883">
      <w:pPr>
        <w:jc w:val="both"/>
        <w:rPr>
          <w:rFonts w:ascii="Times New Roman" w:hAnsi="Times New Roman"/>
          <w:sz w:val="28"/>
          <w:szCs w:val="28"/>
        </w:rPr>
      </w:pPr>
    </w:p>
    <w:p w:rsidR="00142790" w:rsidRDefault="00142790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050F" w:rsidTr="00EA050F">
        <w:tc>
          <w:tcPr>
            <w:tcW w:w="4672" w:type="dxa"/>
          </w:tcPr>
          <w:p w:rsidR="00EA050F" w:rsidRDefault="00EA050F" w:rsidP="00EA0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Согласование:</w:t>
            </w:r>
          </w:p>
        </w:tc>
        <w:tc>
          <w:tcPr>
            <w:tcW w:w="4673" w:type="dxa"/>
          </w:tcPr>
          <w:p w:rsidR="00EA050F" w:rsidRDefault="00EA050F" w:rsidP="00EA0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50F" w:rsidTr="00EA050F">
        <w:tc>
          <w:tcPr>
            <w:tcW w:w="4672" w:type="dxa"/>
          </w:tcPr>
          <w:p w:rsidR="00EA050F" w:rsidRDefault="00EA050F" w:rsidP="00EA0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673" w:type="dxa"/>
          </w:tcPr>
          <w:p w:rsidR="00EA050F" w:rsidRDefault="00EA050F" w:rsidP="00EA0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Е.В.</w:t>
            </w:r>
          </w:p>
        </w:tc>
      </w:tr>
      <w:tr w:rsidR="00EA050F" w:rsidTr="00EA050F">
        <w:tc>
          <w:tcPr>
            <w:tcW w:w="4672" w:type="dxa"/>
          </w:tcPr>
          <w:p w:rsidR="00EA050F" w:rsidRDefault="00EA050F" w:rsidP="00EA0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EA050F" w:rsidRDefault="00EA050F" w:rsidP="00EA0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4673" w:type="dxa"/>
          </w:tcPr>
          <w:p w:rsidR="00EA050F" w:rsidRDefault="00EA050F" w:rsidP="00EA0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050F" w:rsidRDefault="00EA050F" w:rsidP="00EA0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050F" w:rsidRDefault="00EA050F" w:rsidP="00EA0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Ермилина А.С.</w:t>
            </w:r>
          </w:p>
        </w:tc>
      </w:tr>
    </w:tbl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011883">
      <w:pPr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011883">
      <w:pPr>
        <w:jc w:val="both"/>
        <w:rPr>
          <w:rFonts w:ascii="Times New Roman" w:hAnsi="Times New Roman"/>
          <w:sz w:val="28"/>
          <w:szCs w:val="28"/>
        </w:rPr>
        <w:sectPr w:rsidR="00EA050F" w:rsidSect="00142790"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727"/>
        <w:gridCol w:w="3145"/>
        <w:gridCol w:w="645"/>
        <w:gridCol w:w="1514"/>
        <w:gridCol w:w="529"/>
        <w:gridCol w:w="1023"/>
      </w:tblGrid>
      <w:tr w:rsidR="00122D15" w:rsidTr="00EA050F">
        <w:tc>
          <w:tcPr>
            <w:tcW w:w="1641" w:type="pct"/>
            <w:gridSpan w:val="2"/>
          </w:tcPr>
          <w:p w:rsidR="00122D15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</w:tcPr>
          <w:p w:rsidR="00122D15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  <w:gridSpan w:val="4"/>
          </w:tcPr>
          <w:p w:rsidR="00122D15" w:rsidRPr="00C20BBD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0BB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22D15" w:rsidRPr="00C20BBD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0BB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22D15" w:rsidRPr="00C20BBD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0BBD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122D15" w:rsidRPr="00C20BBD" w:rsidRDefault="00122D15" w:rsidP="00122D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0BBD">
              <w:rPr>
                <w:rFonts w:ascii="Times New Roman" w:hAnsi="Times New Roman" w:cs="Times New Roman"/>
                <w:sz w:val="28"/>
                <w:szCs w:val="28"/>
              </w:rPr>
              <w:t xml:space="preserve">«Токсовское городское поселение» </w:t>
            </w:r>
          </w:p>
        </w:tc>
      </w:tr>
      <w:tr w:rsidR="00122D15" w:rsidRPr="00C20BBD" w:rsidTr="00EA050F">
        <w:trPr>
          <w:trHeight w:val="246"/>
        </w:trPr>
        <w:tc>
          <w:tcPr>
            <w:tcW w:w="795" w:type="pct"/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pct"/>
            <w:gridSpan w:val="2"/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B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22D15" w:rsidRPr="00C20BBD" w:rsidRDefault="00122D15" w:rsidP="00122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D15" w:rsidRDefault="00122D15" w:rsidP="00011883">
      <w:pPr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Положение</w:t>
      </w:r>
    </w:p>
    <w:p w:rsidR="00011883" w:rsidRPr="00122D15" w:rsidRDefault="00011883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об организации системы внутреннего обеспечения</w:t>
      </w:r>
    </w:p>
    <w:p w:rsidR="00011883" w:rsidRPr="00122D15" w:rsidRDefault="00011883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соответствия требованиям антимонопольного законодательства</w:t>
      </w:r>
    </w:p>
    <w:p w:rsidR="00122D15" w:rsidRDefault="00011883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 xml:space="preserve">в администрации </w:t>
      </w:r>
      <w:r w:rsidR="00122D15">
        <w:rPr>
          <w:rFonts w:ascii="Times New Roman" w:hAnsi="Times New Roman"/>
          <w:sz w:val="28"/>
          <w:szCs w:val="28"/>
        </w:rPr>
        <w:t>муниципального образования</w:t>
      </w:r>
      <w:r w:rsidR="00122D15" w:rsidRPr="00011883">
        <w:rPr>
          <w:rFonts w:ascii="Times New Roman" w:hAnsi="Times New Roman"/>
          <w:sz w:val="28"/>
          <w:szCs w:val="28"/>
        </w:rPr>
        <w:t xml:space="preserve"> «</w:t>
      </w:r>
      <w:r w:rsidR="00122D15">
        <w:rPr>
          <w:rFonts w:ascii="Times New Roman" w:hAnsi="Times New Roman"/>
          <w:sz w:val="28"/>
          <w:szCs w:val="28"/>
        </w:rPr>
        <w:t>Токсовское городское поселение</w:t>
      </w:r>
      <w:r w:rsidR="00122D15" w:rsidRPr="00011883">
        <w:rPr>
          <w:rFonts w:ascii="Times New Roman" w:hAnsi="Times New Roman"/>
          <w:sz w:val="28"/>
          <w:szCs w:val="28"/>
        </w:rPr>
        <w:t xml:space="preserve">» </w:t>
      </w:r>
      <w:r w:rsidR="00122D1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122D15" w:rsidRPr="00122D15" w:rsidRDefault="00122D15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883" w:rsidRDefault="00011883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I. Общие положения</w:t>
      </w:r>
    </w:p>
    <w:p w:rsidR="00122D15" w:rsidRPr="00122D15" w:rsidRDefault="00122D15" w:rsidP="00122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 w:rsidR="00122D15">
        <w:rPr>
          <w:rFonts w:ascii="Times New Roman" w:hAnsi="Times New Roman"/>
          <w:sz w:val="28"/>
          <w:szCs w:val="28"/>
        </w:rPr>
        <w:t>муниципальном образовании</w:t>
      </w:r>
      <w:r w:rsidR="00122D15" w:rsidRPr="00011883">
        <w:rPr>
          <w:rFonts w:ascii="Times New Roman" w:hAnsi="Times New Roman"/>
          <w:sz w:val="28"/>
          <w:szCs w:val="28"/>
        </w:rPr>
        <w:t xml:space="preserve"> «</w:t>
      </w:r>
      <w:r w:rsidR="00122D15">
        <w:rPr>
          <w:rFonts w:ascii="Times New Roman" w:hAnsi="Times New Roman"/>
          <w:sz w:val="28"/>
          <w:szCs w:val="28"/>
        </w:rPr>
        <w:t>Токсовское городское поселение</w:t>
      </w:r>
      <w:r w:rsidR="00122D15" w:rsidRPr="00011883">
        <w:rPr>
          <w:rFonts w:ascii="Times New Roman" w:hAnsi="Times New Roman"/>
          <w:sz w:val="28"/>
          <w:szCs w:val="28"/>
        </w:rPr>
        <w:t xml:space="preserve">» </w:t>
      </w:r>
      <w:r w:rsidR="00122D1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122D15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(далее</w:t>
      </w:r>
      <w:r w:rsidR="00EA050F">
        <w:rPr>
          <w:rFonts w:ascii="Times New Roman" w:hAnsi="Times New Roman"/>
          <w:sz w:val="28"/>
          <w:szCs w:val="28"/>
        </w:rPr>
        <w:t xml:space="preserve"> – </w:t>
      </w:r>
      <w:r w:rsidRPr="00122D15">
        <w:rPr>
          <w:rFonts w:ascii="Times New Roman" w:hAnsi="Times New Roman"/>
          <w:sz w:val="28"/>
          <w:szCs w:val="28"/>
        </w:rPr>
        <w:t>система обеспечения антимонопольных требований).</w:t>
      </w:r>
    </w:p>
    <w:p w:rsidR="00011883" w:rsidRPr="00122D15" w:rsidRDefault="00011883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011883" w:rsidRPr="00C20BBD" w:rsidRDefault="00011883" w:rsidP="00C20B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«антимонопольное законодательство»</w:t>
      </w:r>
      <w:r w:rsidR="00EA050F">
        <w:rPr>
          <w:rFonts w:ascii="Times New Roman" w:hAnsi="Times New Roman"/>
          <w:sz w:val="28"/>
          <w:szCs w:val="28"/>
        </w:rPr>
        <w:t xml:space="preserve"> - </w:t>
      </w:r>
      <w:r w:rsidRPr="00C20BBD">
        <w:rPr>
          <w:rFonts w:ascii="Times New Roman" w:hAnsi="Times New Roman"/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</w:t>
      </w:r>
      <w:r w:rsidR="00C20BBD" w:rsidRPr="00C20BBD">
        <w:rPr>
          <w:rFonts w:ascii="Times New Roman" w:hAnsi="Times New Roman"/>
          <w:sz w:val="28"/>
          <w:szCs w:val="28"/>
        </w:rPr>
        <w:t xml:space="preserve"> </w:t>
      </w:r>
      <w:r w:rsidRPr="00C20BBD">
        <w:rPr>
          <w:rFonts w:ascii="Times New Roman" w:hAnsi="Times New Roman"/>
          <w:sz w:val="28"/>
          <w:szCs w:val="28"/>
        </w:rPr>
        <w:t xml:space="preserve">в том числе с предупреждением и пресечением монополистической деятельности и недобросовестной конкуренции, в которых участвуют органы местного </w:t>
      </w:r>
      <w:r w:rsidR="00C20BBD" w:rsidRPr="00C20BBD">
        <w:rPr>
          <w:rFonts w:ascii="Times New Roman" w:hAnsi="Times New Roman"/>
          <w:sz w:val="28"/>
          <w:szCs w:val="28"/>
        </w:rPr>
        <w:t>самоуправления муниципального</w:t>
      </w:r>
      <w:r w:rsidRPr="00C20BBD">
        <w:rPr>
          <w:rFonts w:ascii="Times New Roman" w:hAnsi="Times New Roman"/>
          <w:sz w:val="28"/>
          <w:szCs w:val="28"/>
        </w:rPr>
        <w:t xml:space="preserve"> образования и их должностные лица;</w:t>
      </w:r>
    </w:p>
    <w:p w:rsidR="00011883" w:rsidRPr="00C20BBD" w:rsidRDefault="00011883" w:rsidP="00C20B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 структурными подразделениями и должностными лицами администрации;</w:t>
      </w:r>
    </w:p>
    <w:p w:rsidR="00011883" w:rsidRPr="00C20BBD" w:rsidRDefault="00011883" w:rsidP="00C20B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«риски нарушения антимонопольного законодательства («комплаенс-риски»)»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11883" w:rsidRDefault="00011883" w:rsidP="00C20B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 xml:space="preserve">«доклад о системе обеспечения антимонопольных требований» - документ, содержащий информацию об организации и функционировании системы </w:t>
      </w:r>
      <w:r w:rsidR="00C20BBD" w:rsidRPr="00C20BBD">
        <w:rPr>
          <w:rFonts w:ascii="Times New Roman" w:hAnsi="Times New Roman"/>
          <w:sz w:val="28"/>
          <w:szCs w:val="28"/>
        </w:rPr>
        <w:t>обеспечения антимонопольных</w:t>
      </w:r>
      <w:r w:rsidRPr="00C20BBD">
        <w:rPr>
          <w:rFonts w:ascii="Times New Roman" w:hAnsi="Times New Roman"/>
          <w:sz w:val="28"/>
          <w:szCs w:val="28"/>
        </w:rPr>
        <w:t xml:space="preserve"> требований.</w:t>
      </w:r>
    </w:p>
    <w:p w:rsidR="00C20BBD" w:rsidRPr="00C20BBD" w:rsidRDefault="00C20BBD" w:rsidP="00C20BB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C20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II. Цели, задачи и принципы систем</w:t>
      </w:r>
      <w:r w:rsidR="00C20BBD">
        <w:rPr>
          <w:rFonts w:ascii="Times New Roman" w:hAnsi="Times New Roman"/>
          <w:sz w:val="28"/>
          <w:szCs w:val="28"/>
        </w:rPr>
        <w:t>ы</w:t>
      </w:r>
      <w:r w:rsidRPr="00122D15">
        <w:rPr>
          <w:rFonts w:ascii="Times New Roman" w:hAnsi="Times New Roman"/>
          <w:sz w:val="28"/>
          <w:szCs w:val="28"/>
        </w:rPr>
        <w:t xml:space="preserve"> обеспечения антимонопольных требований</w:t>
      </w:r>
    </w:p>
    <w:p w:rsidR="00B33B38" w:rsidRPr="00122D15" w:rsidRDefault="00B33B38" w:rsidP="00C20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883" w:rsidRPr="00C20BBD" w:rsidRDefault="00011883" w:rsidP="00B33B3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Цели системы обеспечения антимонопольных требований:</w:t>
      </w:r>
    </w:p>
    <w:p w:rsidR="00C20BBD" w:rsidRDefault="00011883" w:rsidP="00B33B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lastRenderedPageBreak/>
        <w:t>обеспечение соответствия деятельности структурных подразделений</w:t>
      </w:r>
      <w:r w:rsidR="00C20BBD" w:rsidRPr="00C20BBD">
        <w:rPr>
          <w:rFonts w:ascii="Times New Roman" w:hAnsi="Times New Roman"/>
          <w:sz w:val="28"/>
          <w:szCs w:val="28"/>
        </w:rPr>
        <w:t xml:space="preserve"> </w:t>
      </w:r>
      <w:r w:rsidRPr="00C20BBD">
        <w:rPr>
          <w:rFonts w:ascii="Times New Roman" w:hAnsi="Times New Roman"/>
          <w:sz w:val="28"/>
          <w:szCs w:val="28"/>
        </w:rPr>
        <w:t>и должностных лиц администрации требованиям антимонопольного законодательства;</w:t>
      </w:r>
    </w:p>
    <w:p w:rsidR="00011883" w:rsidRPr="00C20BBD" w:rsidRDefault="00011883" w:rsidP="00B33B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011883" w:rsidRPr="00C20BBD" w:rsidRDefault="00011883" w:rsidP="00B33B3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Задачи системы обеспечения антимонопольных требований:</w:t>
      </w:r>
    </w:p>
    <w:p w:rsidR="00011883" w:rsidRPr="00C20BBD" w:rsidRDefault="00011883" w:rsidP="00B33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выявление рисков нарушения антимонопольного законодательства;</w:t>
      </w:r>
    </w:p>
    <w:p w:rsidR="00011883" w:rsidRPr="00C20BBD" w:rsidRDefault="00011883" w:rsidP="00B33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C20BBD" w:rsidRDefault="00011883" w:rsidP="00B33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011883" w:rsidRPr="00C20BBD" w:rsidRDefault="00011883" w:rsidP="00B33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оценка эффективности функционирования в администрации системы обеспечения антимонопольных требований.</w:t>
      </w:r>
    </w:p>
    <w:p w:rsidR="00011883" w:rsidRPr="00C20BBD" w:rsidRDefault="00011883" w:rsidP="00B33B3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011883" w:rsidRPr="00C20BBD" w:rsidRDefault="00011883" w:rsidP="00B33B3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заинтересованность в эффективности функционирования системы обеспечения антимонопольных требований;</w:t>
      </w:r>
    </w:p>
    <w:p w:rsidR="00011883" w:rsidRPr="00C20BBD" w:rsidRDefault="00011883" w:rsidP="00B33B3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011883" w:rsidRPr="00C20BBD" w:rsidRDefault="00011883" w:rsidP="00B33B3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обеспечение информационной открытости функционирования системы обеспечения антимонопольных требований;</w:t>
      </w:r>
    </w:p>
    <w:p w:rsidR="00011883" w:rsidRDefault="00011883" w:rsidP="00B33B3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BBD">
        <w:rPr>
          <w:rFonts w:ascii="Times New Roman" w:hAnsi="Times New Roman"/>
          <w:sz w:val="28"/>
          <w:szCs w:val="28"/>
        </w:rPr>
        <w:t>непрерывность функционирования и совершенствование системы обеспечения антимонопольных требований.</w:t>
      </w:r>
    </w:p>
    <w:p w:rsidR="00A126D2" w:rsidRPr="00C20BBD" w:rsidRDefault="00A126D2" w:rsidP="00A126D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A126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A126D2" w:rsidRPr="00122D15" w:rsidRDefault="00A126D2" w:rsidP="00A126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883" w:rsidRPr="00A126D2" w:rsidRDefault="00011883" w:rsidP="00B33B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 xml:space="preserve">Функции, связанные с организацией и </w:t>
      </w:r>
      <w:r w:rsidR="00A126D2" w:rsidRPr="00A126D2">
        <w:rPr>
          <w:rFonts w:ascii="Times New Roman" w:hAnsi="Times New Roman"/>
          <w:sz w:val="28"/>
          <w:szCs w:val="28"/>
        </w:rPr>
        <w:t>функционированием системы обеспечения антимонопольных требований,</w:t>
      </w:r>
      <w:r w:rsidRPr="00A126D2">
        <w:rPr>
          <w:rFonts w:ascii="Times New Roman" w:hAnsi="Times New Roman"/>
          <w:sz w:val="28"/>
          <w:szCs w:val="28"/>
        </w:rPr>
        <w:t xml:space="preserve"> возлагаются на Рабочую группу при </w:t>
      </w:r>
      <w:r w:rsidR="00A775B7">
        <w:rPr>
          <w:rFonts w:ascii="Times New Roman" w:hAnsi="Times New Roman"/>
          <w:sz w:val="28"/>
          <w:szCs w:val="28"/>
        </w:rPr>
        <w:t>а</w:t>
      </w:r>
      <w:r w:rsidRPr="00A126D2">
        <w:rPr>
          <w:rFonts w:ascii="Times New Roman" w:hAnsi="Times New Roman"/>
          <w:sz w:val="28"/>
          <w:szCs w:val="28"/>
        </w:rPr>
        <w:t>дминистрации</w:t>
      </w:r>
      <w:r w:rsidR="00A775B7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(далее </w:t>
      </w:r>
      <w:r w:rsidR="00CB6357">
        <w:rPr>
          <w:rFonts w:ascii="Times New Roman" w:hAnsi="Times New Roman"/>
          <w:sz w:val="28"/>
          <w:szCs w:val="28"/>
        </w:rPr>
        <w:t>– Администрация)</w:t>
      </w:r>
      <w:r w:rsidRPr="00A126D2">
        <w:rPr>
          <w:rFonts w:ascii="Times New Roman" w:hAnsi="Times New Roman"/>
          <w:sz w:val="28"/>
          <w:szCs w:val="28"/>
        </w:rPr>
        <w:t xml:space="preserve">, созданную на основании распоряжения </w:t>
      </w:r>
      <w:r w:rsidR="00A126D2">
        <w:rPr>
          <w:rFonts w:ascii="Times New Roman" w:hAnsi="Times New Roman"/>
          <w:sz w:val="28"/>
          <w:szCs w:val="28"/>
        </w:rPr>
        <w:t>А</w:t>
      </w:r>
      <w:r w:rsidRPr="00A126D2">
        <w:rPr>
          <w:rFonts w:ascii="Times New Roman" w:hAnsi="Times New Roman"/>
          <w:sz w:val="28"/>
          <w:szCs w:val="28"/>
        </w:rPr>
        <w:t>дминистрации (далее - Рабочая группа).</w:t>
      </w:r>
      <w:r w:rsidR="00A126D2">
        <w:rPr>
          <w:rFonts w:ascii="Times New Roman" w:hAnsi="Times New Roman"/>
          <w:sz w:val="28"/>
          <w:szCs w:val="28"/>
        </w:rPr>
        <w:t xml:space="preserve"> </w:t>
      </w:r>
      <w:r w:rsidRPr="00A126D2">
        <w:rPr>
          <w:rFonts w:ascii="Times New Roman" w:hAnsi="Times New Roman"/>
          <w:sz w:val="28"/>
          <w:szCs w:val="28"/>
        </w:rPr>
        <w:t>К компетенции Рабочей группы относятся следующие функции: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организация обучения служащих администрации по вопросам, связанным с соблюдением антимонопольного законодательства;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организация служебных проверок, связанных с функционированием системы обеспечения антимонопольных требований;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lastRenderedPageBreak/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информирование главы администрации о внутренних документах, которые могут повлечь нарушение антимонопольного законодательства.</w:t>
      </w:r>
    </w:p>
    <w:p w:rsidR="00011883" w:rsidRPr="00A126D2" w:rsidRDefault="00011883" w:rsidP="00B33B3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иные функции, связанные с функционированием системы обеспечения антимонопольных требований.</w:t>
      </w:r>
    </w:p>
    <w:p w:rsidR="00A126D2" w:rsidRDefault="00011883" w:rsidP="00B33B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 xml:space="preserve">Оценку эффективности системы обеспечения антимонопольных требований осуществляет Комиссия по оценке эффективности </w:t>
      </w:r>
      <w:r w:rsidR="00A126D2" w:rsidRPr="00A126D2">
        <w:rPr>
          <w:rFonts w:ascii="Times New Roman" w:hAnsi="Times New Roman"/>
          <w:sz w:val="28"/>
          <w:szCs w:val="28"/>
        </w:rPr>
        <w:t>системы обеспечения</w:t>
      </w:r>
      <w:r w:rsidRPr="00A126D2">
        <w:rPr>
          <w:rFonts w:ascii="Times New Roman" w:hAnsi="Times New Roman"/>
          <w:sz w:val="28"/>
          <w:szCs w:val="28"/>
        </w:rPr>
        <w:t xml:space="preserve"> антимонопольных требований (далее - Комиссия), созданная на основании распоряжения </w:t>
      </w:r>
      <w:r w:rsidR="00A126D2">
        <w:rPr>
          <w:rFonts w:ascii="Times New Roman" w:hAnsi="Times New Roman"/>
          <w:sz w:val="28"/>
          <w:szCs w:val="28"/>
        </w:rPr>
        <w:t>А</w:t>
      </w:r>
      <w:r w:rsidRPr="00A126D2">
        <w:rPr>
          <w:rFonts w:ascii="Times New Roman" w:hAnsi="Times New Roman"/>
          <w:sz w:val="28"/>
          <w:szCs w:val="28"/>
        </w:rPr>
        <w:t>дминистрации.</w:t>
      </w:r>
    </w:p>
    <w:p w:rsidR="00011883" w:rsidRPr="00A126D2" w:rsidRDefault="00011883" w:rsidP="00B33B3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К функциям Комиссии относятся:</w:t>
      </w:r>
    </w:p>
    <w:p w:rsidR="00A126D2" w:rsidRDefault="00011883" w:rsidP="00B33B3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011883" w:rsidRPr="00A126D2" w:rsidRDefault="00011883" w:rsidP="00B33B3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рассмотрение и утверждение доклада о системе обеспечения антимонопольных требований;</w:t>
      </w:r>
    </w:p>
    <w:p w:rsidR="00A126D2" w:rsidRDefault="00011883" w:rsidP="00B33B3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 xml:space="preserve">рассмотрение материалов служебных проверок, связанных с функционированием системы обеспечения антимонопольных требований, и формирование рекомендаций </w:t>
      </w:r>
      <w:r w:rsidR="00A126D2" w:rsidRPr="00A126D2">
        <w:rPr>
          <w:rFonts w:ascii="Times New Roman" w:hAnsi="Times New Roman"/>
          <w:sz w:val="28"/>
          <w:szCs w:val="28"/>
        </w:rPr>
        <w:t>по применению,</w:t>
      </w:r>
      <w:r w:rsidRPr="00A126D2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мер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011883" w:rsidRDefault="00011883" w:rsidP="00B33B3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осуществление контроля за устранением выявленных недостатков системы обеспечения антимонопольных требований.</w:t>
      </w:r>
    </w:p>
    <w:p w:rsidR="00A126D2" w:rsidRPr="00A126D2" w:rsidRDefault="00A126D2" w:rsidP="00B33B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A126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IV. Порядок выявления и оценки рисков нарушения</w:t>
      </w:r>
    </w:p>
    <w:p w:rsidR="00011883" w:rsidRDefault="00011883" w:rsidP="00A126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A126D2" w:rsidRPr="00122D15" w:rsidRDefault="00A126D2" w:rsidP="00A126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883" w:rsidRPr="00A126D2" w:rsidRDefault="00011883" w:rsidP="00B33B3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 Рабочая группа на регулярной основе организуется проведение следующих мероприятий:</w:t>
      </w:r>
    </w:p>
    <w:p w:rsidR="00011883" w:rsidRPr="00A126D2" w:rsidRDefault="00011883" w:rsidP="00B33B3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011883" w:rsidRPr="00A126D2" w:rsidRDefault="00011883" w:rsidP="00B33B3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анализ нормативных правовых актов органов местного самоуправления муниципального образования;</w:t>
      </w:r>
    </w:p>
    <w:p w:rsidR="00011883" w:rsidRPr="00A126D2" w:rsidRDefault="00011883" w:rsidP="00B33B3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анализ проектов нормативных правовых актов органов местного самоуправления муниципального образования;</w:t>
      </w:r>
    </w:p>
    <w:p w:rsidR="00011883" w:rsidRPr="00A126D2" w:rsidRDefault="00011883" w:rsidP="00B33B3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мониторинг и анализ практики применения администрацией антимонопольного законодательства;</w:t>
      </w:r>
    </w:p>
    <w:p w:rsidR="00011883" w:rsidRPr="00A126D2" w:rsidRDefault="00011883" w:rsidP="00B33B3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проведение оценки эффективности реализуемых мероприятий по снижению рисков нарушения антимонопольного законодательства.</w:t>
      </w:r>
    </w:p>
    <w:p w:rsidR="00011883" w:rsidRPr="00A126D2" w:rsidRDefault="00011883" w:rsidP="00B33B3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 xml:space="preserve">При проведении (не реже одного раза в год) анализа выявленных нарушений антимонопольного законодательства (наличие предостережений, </w:t>
      </w:r>
      <w:r w:rsidRPr="00A126D2">
        <w:rPr>
          <w:rFonts w:ascii="Times New Roman" w:hAnsi="Times New Roman"/>
          <w:sz w:val="28"/>
          <w:szCs w:val="28"/>
        </w:rPr>
        <w:lastRenderedPageBreak/>
        <w:t>предупреждений, штрафов, жалоб, возбужденных дел) проводятся следующие мероприятия:</w:t>
      </w:r>
    </w:p>
    <w:p w:rsidR="00011883" w:rsidRPr="00A126D2" w:rsidRDefault="00011883" w:rsidP="00B33B3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6D2">
        <w:rPr>
          <w:rFonts w:ascii="Times New Roman" w:hAnsi="Times New Roman"/>
          <w:sz w:val="28"/>
          <w:szCs w:val="28"/>
        </w:rPr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011883" w:rsidRPr="00883123" w:rsidRDefault="00011883" w:rsidP="00B33B3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123">
        <w:rPr>
          <w:rFonts w:ascii="Times New Roman" w:hAnsi="Times New Roman"/>
          <w:sz w:val="28"/>
          <w:szCs w:val="28"/>
        </w:rPr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977BF1" w:rsidRDefault="00011883" w:rsidP="00B33B3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При проведении анализа проектов нормативных правовых актов пров</w:t>
      </w:r>
      <w:r w:rsidR="00977BF1" w:rsidRPr="00977BF1">
        <w:rPr>
          <w:rFonts w:ascii="Times New Roman" w:hAnsi="Times New Roman"/>
          <w:sz w:val="28"/>
          <w:szCs w:val="28"/>
        </w:rPr>
        <w:t>о</w:t>
      </w:r>
      <w:r w:rsidRPr="00977BF1">
        <w:rPr>
          <w:rFonts w:ascii="Times New Roman" w:hAnsi="Times New Roman"/>
          <w:sz w:val="28"/>
          <w:szCs w:val="28"/>
        </w:rPr>
        <w:t>д</w:t>
      </w:r>
      <w:r w:rsidR="00977BF1" w:rsidRPr="00977BF1">
        <w:rPr>
          <w:rFonts w:ascii="Times New Roman" w:hAnsi="Times New Roman"/>
          <w:sz w:val="28"/>
          <w:szCs w:val="28"/>
        </w:rPr>
        <w:t>ится</w:t>
      </w:r>
      <w:r w:rsidRPr="00977BF1">
        <w:rPr>
          <w:rFonts w:ascii="Times New Roman" w:hAnsi="Times New Roman"/>
          <w:sz w:val="28"/>
          <w:szCs w:val="28"/>
        </w:rPr>
        <w:t xml:space="preserve"> юридическ</w:t>
      </w:r>
      <w:r w:rsidR="00977BF1" w:rsidRPr="00977BF1">
        <w:rPr>
          <w:rFonts w:ascii="Times New Roman" w:hAnsi="Times New Roman"/>
          <w:sz w:val="28"/>
          <w:szCs w:val="28"/>
        </w:rPr>
        <w:t>ая</w:t>
      </w:r>
      <w:r w:rsidRPr="00977BF1">
        <w:rPr>
          <w:rFonts w:ascii="Times New Roman" w:hAnsi="Times New Roman"/>
          <w:sz w:val="28"/>
          <w:szCs w:val="28"/>
        </w:rPr>
        <w:t xml:space="preserve"> оценк</w:t>
      </w:r>
      <w:r w:rsidR="00977BF1" w:rsidRPr="00977BF1">
        <w:rPr>
          <w:rFonts w:ascii="Times New Roman" w:hAnsi="Times New Roman"/>
          <w:sz w:val="28"/>
          <w:szCs w:val="28"/>
        </w:rPr>
        <w:t>а</w:t>
      </w:r>
      <w:r w:rsidRPr="00977BF1">
        <w:rPr>
          <w:rFonts w:ascii="Times New Roman" w:hAnsi="Times New Roman"/>
          <w:sz w:val="28"/>
          <w:szCs w:val="28"/>
        </w:rPr>
        <w:t xml:space="preserve"> (экспертиз</w:t>
      </w:r>
      <w:r w:rsidR="00977BF1" w:rsidRPr="00977BF1">
        <w:rPr>
          <w:rFonts w:ascii="Times New Roman" w:hAnsi="Times New Roman"/>
          <w:sz w:val="28"/>
          <w:szCs w:val="28"/>
        </w:rPr>
        <w:t>а</w:t>
      </w:r>
      <w:r w:rsidRPr="00977BF1">
        <w:rPr>
          <w:rFonts w:ascii="Times New Roman" w:hAnsi="Times New Roman"/>
          <w:sz w:val="28"/>
          <w:szCs w:val="28"/>
        </w:rPr>
        <w:t>) проектов нормативных правовых актов, затрагивающих вопросы развития конкуренции</w:t>
      </w:r>
      <w:r w:rsidR="00977BF1" w:rsidRPr="00977BF1">
        <w:rPr>
          <w:rFonts w:ascii="Times New Roman" w:hAnsi="Times New Roman"/>
          <w:sz w:val="28"/>
          <w:szCs w:val="28"/>
        </w:rPr>
        <w:t>.</w:t>
      </w:r>
    </w:p>
    <w:p w:rsidR="00011883" w:rsidRPr="00977BF1" w:rsidRDefault="00011883" w:rsidP="00B33B3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977BF1" w:rsidRDefault="00011883" w:rsidP="00B33B38">
      <w:pPr>
        <w:pStyle w:val="a4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осуществление на постоянной основе сбора сведений о правоприменительной практике в администрации;</w:t>
      </w:r>
    </w:p>
    <w:p w:rsidR="00977BF1" w:rsidRDefault="00011883" w:rsidP="00B33B38">
      <w:pPr>
        <w:pStyle w:val="a4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подготовка по итогам сбора информации, предусмотренной п</w:t>
      </w:r>
      <w:r w:rsidR="00977BF1">
        <w:rPr>
          <w:rFonts w:ascii="Times New Roman" w:hAnsi="Times New Roman"/>
          <w:sz w:val="28"/>
          <w:szCs w:val="28"/>
        </w:rPr>
        <w:t>/п 4.5.1.</w:t>
      </w:r>
      <w:r w:rsidRPr="00977BF1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практики;</w:t>
      </w:r>
    </w:p>
    <w:p w:rsidR="00011883" w:rsidRPr="00977BF1" w:rsidRDefault="00011883" w:rsidP="00B33B38">
      <w:pPr>
        <w:pStyle w:val="a4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977BF1" w:rsidRDefault="00011883" w:rsidP="00B33B38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 xml:space="preserve">При выявлении рисков нарушения антимонопольного законодательства Рабочая группа обеспечивает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w:anchor="П1" w:history="1">
        <w:r w:rsidR="00977BF1"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риложению № 1</w:t>
        </w:r>
      </w:hyperlink>
      <w:r w:rsidRPr="00977BF1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="00977BF1">
        <w:rPr>
          <w:rFonts w:ascii="Times New Roman" w:hAnsi="Times New Roman"/>
          <w:sz w:val="28"/>
          <w:szCs w:val="28"/>
        </w:rPr>
        <w:t xml:space="preserve"> </w:t>
      </w:r>
    </w:p>
    <w:p w:rsidR="00011883" w:rsidRPr="00977BF1" w:rsidRDefault="00011883" w:rsidP="00B33B38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Рабочей группой составляется «Карта комплаенс-рисков нарушения антимонопольного законодательства» согласно </w:t>
      </w:r>
      <w:hyperlink w:anchor="П2" w:history="1">
        <w:r w:rsidR="00977BF1"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риложению № 2</w:t>
        </w:r>
      </w:hyperlink>
      <w:r w:rsidRPr="004521F7">
        <w:rPr>
          <w:rFonts w:ascii="Times New Roman" w:hAnsi="Times New Roman"/>
          <w:sz w:val="28"/>
          <w:szCs w:val="28"/>
        </w:rPr>
        <w:t xml:space="preserve"> </w:t>
      </w:r>
      <w:r w:rsidRPr="00977BF1">
        <w:rPr>
          <w:rFonts w:ascii="Times New Roman" w:hAnsi="Times New Roman"/>
          <w:sz w:val="28"/>
          <w:szCs w:val="28"/>
        </w:rPr>
        <w:t>к настоящему Положению.</w:t>
      </w:r>
    </w:p>
    <w:p w:rsidR="00977BF1" w:rsidRDefault="00011883" w:rsidP="00B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«Карта комплаенс-рисков нарушения антимонопольного законодательства» утверждается распоряжением администрации.</w:t>
      </w:r>
    </w:p>
    <w:p w:rsidR="00011883" w:rsidRDefault="00011883" w:rsidP="00B33B38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Рабочей группой в доклад о системе обеспечения антимонопольных требований.</w:t>
      </w:r>
    </w:p>
    <w:p w:rsidR="00977BF1" w:rsidRDefault="00977BF1" w:rsidP="00977BF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977BF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0E78" w:rsidRPr="00977BF1" w:rsidRDefault="007C0E78" w:rsidP="00977BF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977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lastRenderedPageBreak/>
        <w:t>V. Мероприятия по снижению рисков нарушения антимонопольного законодательства («дорожная карта»)</w:t>
      </w:r>
    </w:p>
    <w:p w:rsidR="00977BF1" w:rsidRPr="00122D15" w:rsidRDefault="00977BF1" w:rsidP="00977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883" w:rsidRPr="00977BF1" w:rsidRDefault="00011883" w:rsidP="00B33B3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 xml:space="preserve">В целях снижения рисков нарушения антимонопольного законодательства Рабочей группой обеспечивается разработка (не реже одного раза в год) плана мероприятий («дорожной карты») по снижению рисков нарушения антимонопольного законодательства по форме, согласно </w:t>
      </w:r>
      <w:hyperlink w:anchor="П3" w:history="1">
        <w:r w:rsidR="00B33B38"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риложению</w:t>
        </w:r>
        <w:r w:rsidR="00B33B38"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Pr="004521F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977BF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977BF1">
        <w:rPr>
          <w:rFonts w:ascii="Times New Roman" w:hAnsi="Times New Roman"/>
          <w:sz w:val="28"/>
          <w:szCs w:val="28"/>
        </w:rPr>
        <w:t>.</w:t>
      </w:r>
    </w:p>
    <w:p w:rsidR="00977BF1" w:rsidRDefault="00011883" w:rsidP="00B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План мероприятий («дорожная карта») утверждается распоряжением Главы администрации в срок, не позднее 31 декабря года, предшествующему году, на который планируется мероприятия.</w:t>
      </w:r>
    </w:p>
    <w:p w:rsidR="00011883" w:rsidRPr="00977BF1" w:rsidRDefault="00011883" w:rsidP="00B33B38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 xml:space="preserve">Рабочая группа осуществляет мониторинг исполнения плана мероприятий («дорожной карты»). </w:t>
      </w:r>
    </w:p>
    <w:p w:rsidR="00011883" w:rsidRPr="00977BF1" w:rsidRDefault="00011883" w:rsidP="00B33B38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Информация об исполнении плана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977BF1" w:rsidRPr="00977BF1" w:rsidRDefault="00977BF1" w:rsidP="00977B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97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VI. Ключевые показатели и порядок оценки эффективности функционирования системы обеспечения антимонопольных требований</w:t>
      </w:r>
    </w:p>
    <w:p w:rsidR="00977BF1" w:rsidRPr="00122D15" w:rsidRDefault="00977BF1" w:rsidP="004521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883" w:rsidRPr="00977BF1" w:rsidRDefault="00977BF1" w:rsidP="004521F7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1883" w:rsidRPr="00977BF1">
        <w:rPr>
          <w:rFonts w:ascii="Times New Roman" w:hAnsi="Times New Roman"/>
          <w:sz w:val="28"/>
          <w:szCs w:val="28"/>
        </w:rPr>
        <w:t>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011883" w:rsidRPr="00977BF1" w:rsidRDefault="00011883" w:rsidP="004521F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011883" w:rsidRPr="00977BF1" w:rsidRDefault="00011883" w:rsidP="004521F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отсутствие выданных администрации и должностным лицам администрации предупреждений антимонопольных органов;</w:t>
      </w:r>
    </w:p>
    <w:p w:rsidR="00011883" w:rsidRPr="00977BF1" w:rsidRDefault="00011883" w:rsidP="004521F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011883" w:rsidRPr="00977BF1" w:rsidRDefault="00011883" w:rsidP="004521F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BF1">
        <w:rPr>
          <w:rFonts w:ascii="Times New Roman" w:hAnsi="Times New Roman"/>
          <w:sz w:val="28"/>
          <w:szCs w:val="28"/>
        </w:rPr>
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A775B7" w:rsidRDefault="00011883" w:rsidP="004521F7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>Ключевые показатели могут изменяться и дополняться по мере необходимости.</w:t>
      </w:r>
    </w:p>
    <w:p w:rsidR="00A775B7" w:rsidRPr="004521F7" w:rsidRDefault="00011883" w:rsidP="004521F7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 xml:space="preserve">Рабочая группа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включается </w:t>
      </w:r>
      <w:r w:rsidRPr="004521F7">
        <w:rPr>
          <w:rFonts w:ascii="Times New Roman" w:hAnsi="Times New Roman"/>
          <w:sz w:val="28"/>
          <w:szCs w:val="28"/>
        </w:rPr>
        <w:t>в доклад о системе обеспечения антимонопольных требований.</w:t>
      </w:r>
      <w:r w:rsidR="00A775B7" w:rsidRPr="004521F7">
        <w:rPr>
          <w:rFonts w:ascii="Times New Roman" w:hAnsi="Times New Roman"/>
          <w:sz w:val="28"/>
          <w:szCs w:val="28"/>
        </w:rPr>
        <w:t xml:space="preserve"> </w:t>
      </w:r>
    </w:p>
    <w:p w:rsidR="00011883" w:rsidRPr="00A775B7" w:rsidRDefault="00011883" w:rsidP="004521F7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 xml:space="preserve">Оценка эффективности функционирования системы обеспечения антимонопольных требований осуществляется в соответствии с методикой, согласно </w:t>
      </w:r>
      <w:hyperlink w:anchor="П4" w:history="1">
        <w:r w:rsidR="00A775B7" w:rsidRPr="0014279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4279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риложению № 4</w:t>
        </w:r>
      </w:hyperlink>
      <w:r w:rsidRPr="00A775B7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775B7" w:rsidRDefault="00A775B7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78" w:rsidRPr="00122D15" w:rsidRDefault="007C0E78" w:rsidP="00C20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A775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lastRenderedPageBreak/>
        <w:t>VII. Доклад о системе обеспечения антимонопольных требований</w:t>
      </w:r>
    </w:p>
    <w:p w:rsidR="00A775B7" w:rsidRPr="00122D15" w:rsidRDefault="00A775B7" w:rsidP="00A775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1883" w:rsidRPr="00A775B7" w:rsidRDefault="00011883" w:rsidP="004521F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>Доклад о системе обеспечения антимонопольных требований должен содержать информацию:</w:t>
      </w:r>
    </w:p>
    <w:p w:rsidR="00A775B7" w:rsidRDefault="00011883" w:rsidP="004521F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>о результатах проведенной оценки рисков нарушения антимонопольного законодательства;</w:t>
      </w:r>
    </w:p>
    <w:p w:rsidR="00A775B7" w:rsidRDefault="00011883" w:rsidP="004521F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>об исполнении мероприятий по снижению рисков нарушения антимонопольного законодательства;</w:t>
      </w:r>
    </w:p>
    <w:p w:rsidR="00011883" w:rsidRPr="00A775B7" w:rsidRDefault="00011883" w:rsidP="004521F7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 xml:space="preserve">о достижении ключевых показателей эффективности системы обеспечения антимонопольных требований </w:t>
      </w:r>
    </w:p>
    <w:p w:rsidR="00A775B7" w:rsidRDefault="00011883" w:rsidP="004521F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>Рабочая группа представляет доклад на утверждение в Комиссию не реже одного раза в год до 15 февраля.</w:t>
      </w:r>
    </w:p>
    <w:p w:rsidR="00011883" w:rsidRDefault="00011883" w:rsidP="004521F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 xml:space="preserve"> Доклад, утвержденный Комиссией, размещается на официальном сайте администрации в сети «Интернет».</w:t>
      </w:r>
    </w:p>
    <w:p w:rsidR="00A775B7" w:rsidRPr="00A775B7" w:rsidRDefault="00A775B7" w:rsidP="00A775B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A77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D15">
        <w:rPr>
          <w:rFonts w:ascii="Times New Roman" w:hAnsi="Times New Roman"/>
          <w:sz w:val="28"/>
          <w:szCs w:val="28"/>
        </w:rPr>
        <w:t>VIII. Порядок ознакомления с настоящим постановлением</w:t>
      </w:r>
    </w:p>
    <w:p w:rsidR="00A775B7" w:rsidRPr="00122D15" w:rsidRDefault="00A775B7" w:rsidP="00A77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883" w:rsidRPr="00A775B7" w:rsidRDefault="00011883" w:rsidP="00A775B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5B7">
        <w:rPr>
          <w:rFonts w:ascii="Times New Roman" w:hAnsi="Times New Roman"/>
          <w:sz w:val="28"/>
          <w:szCs w:val="28"/>
        </w:rPr>
        <w:t xml:space="preserve">Положение об организации системы обеспечения антимонопольных требований доводится руководителями </w:t>
      </w:r>
      <w:r w:rsidR="00A775B7" w:rsidRPr="00A775B7">
        <w:rPr>
          <w:rFonts w:ascii="Times New Roman" w:hAnsi="Times New Roman"/>
          <w:sz w:val="28"/>
          <w:szCs w:val="28"/>
        </w:rPr>
        <w:t>структурных подразделений</w:t>
      </w:r>
      <w:r w:rsidRPr="00A775B7">
        <w:rPr>
          <w:rFonts w:ascii="Times New Roman" w:hAnsi="Times New Roman"/>
          <w:sz w:val="28"/>
          <w:szCs w:val="28"/>
        </w:rPr>
        <w:t xml:space="preserve"> (отделов) </w:t>
      </w:r>
      <w:r w:rsidR="00A775B7" w:rsidRPr="00A775B7">
        <w:rPr>
          <w:rFonts w:ascii="Times New Roman" w:hAnsi="Times New Roman"/>
          <w:sz w:val="28"/>
          <w:szCs w:val="28"/>
        </w:rPr>
        <w:t>Администрации до</w:t>
      </w:r>
      <w:r w:rsidRPr="00A775B7">
        <w:rPr>
          <w:rFonts w:ascii="Times New Roman" w:hAnsi="Times New Roman"/>
          <w:sz w:val="28"/>
          <w:szCs w:val="28"/>
        </w:rPr>
        <w:t xml:space="preserve"> сведения </w:t>
      </w:r>
      <w:r w:rsidR="00A775B7" w:rsidRPr="00A775B7">
        <w:rPr>
          <w:rFonts w:ascii="Times New Roman" w:hAnsi="Times New Roman"/>
          <w:sz w:val="28"/>
          <w:szCs w:val="28"/>
        </w:rPr>
        <w:t>подведомственных сотрудников</w:t>
      </w:r>
      <w:r w:rsidRPr="00A775B7">
        <w:rPr>
          <w:rFonts w:ascii="Times New Roman" w:hAnsi="Times New Roman"/>
          <w:sz w:val="28"/>
          <w:szCs w:val="28"/>
        </w:rPr>
        <w:t xml:space="preserve"> под роспись.</w:t>
      </w: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E78" w:rsidRDefault="007C0E78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50F" w:rsidRDefault="00EA050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A775B7" w:rsidRPr="00EA050F" w:rsidTr="00EA050F">
        <w:tc>
          <w:tcPr>
            <w:tcW w:w="3115" w:type="dxa"/>
          </w:tcPr>
          <w:p w:rsidR="00A775B7" w:rsidRPr="00EA050F" w:rsidRDefault="00A775B7" w:rsidP="0012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775B7" w:rsidRPr="00EA050F" w:rsidRDefault="00A775B7" w:rsidP="0012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775B7" w:rsidRPr="00EA050F" w:rsidRDefault="00A775B7" w:rsidP="00EA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П1"/>
            <w:r w:rsidRPr="00EA050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bookmarkEnd w:id="1"/>
            <w:r w:rsidRPr="00EA050F">
              <w:rPr>
                <w:rFonts w:ascii="Times New Roman" w:hAnsi="Times New Roman"/>
                <w:sz w:val="24"/>
                <w:szCs w:val="24"/>
              </w:rPr>
              <w:t xml:space="preserve"> к Положению </w:t>
            </w:r>
            <w:r w:rsidR="00EA050F" w:rsidRPr="00EA050F">
              <w:rPr>
                <w:rFonts w:ascii="Times New Roman" w:hAnsi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4F" w:rsidRPr="0089654F" w:rsidRDefault="0089654F" w:rsidP="008965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bookmarkStart w:id="2" w:name="Par137"/>
      <w:bookmarkEnd w:id="2"/>
      <w:r w:rsidRPr="0089654F">
        <w:rPr>
          <w:rFonts w:ascii="Times New Roman" w:eastAsia="Times New Roman" w:hAnsi="Times New Roman"/>
          <w:bCs/>
          <w:sz w:val="28"/>
          <w:szCs w:val="28"/>
          <w:lang w:eastAsia="zh-CN"/>
        </w:rPr>
        <w:t>Уровни рисков нарушения антимонопольного законодательства</w:t>
      </w:r>
    </w:p>
    <w:p w:rsidR="0089654F" w:rsidRPr="0089654F" w:rsidRDefault="0089654F" w:rsidP="008965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9654F" w:rsidRPr="004521F7" w:rsidTr="004521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Уровень риска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Описание риска</w:t>
            </w:r>
          </w:p>
        </w:tc>
      </w:tr>
      <w:tr w:rsidR="0089654F" w:rsidRPr="004521F7" w:rsidTr="004521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</w:t>
            </w: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и должностных лиц по развитию конкуренции, вероятность выдачи </w:t>
            </w:r>
            <w:r w:rsidRPr="004521F7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zh-CN"/>
              </w:rPr>
              <w:t>предупреждения, возбуждения дела о нарушении антимонопольного</w:t>
            </w: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законодательства, наложения штрафа отсутствует.</w:t>
            </w:r>
          </w:p>
        </w:tc>
      </w:tr>
      <w:tr w:rsidR="0089654F" w:rsidRPr="004521F7" w:rsidTr="004521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89654F" w:rsidRPr="004521F7" w:rsidTr="004521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9654F" w:rsidRPr="004521F7" w:rsidTr="004521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4521F7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521F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9654F" w:rsidRPr="0089654F" w:rsidRDefault="0089654F" w:rsidP="0089654F">
      <w:pPr>
        <w:widowControl w:val="0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9654F" w:rsidRPr="0089654F" w:rsidRDefault="0089654F" w:rsidP="0089654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4F" w:rsidRPr="00122D15" w:rsidRDefault="0089654F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883" w:rsidRPr="00122D15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89654F" w:rsidTr="00EC5C97">
        <w:tc>
          <w:tcPr>
            <w:tcW w:w="3115" w:type="dxa"/>
          </w:tcPr>
          <w:p w:rsidR="0089654F" w:rsidRDefault="0089654F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9654F" w:rsidRDefault="0089654F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9654F" w:rsidRPr="0089654F" w:rsidRDefault="0089654F" w:rsidP="00EC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П2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D5B6D">
              <w:rPr>
                <w:rFonts w:ascii="Times New Roman" w:hAnsi="Times New Roman"/>
                <w:sz w:val="24"/>
                <w:szCs w:val="24"/>
              </w:rPr>
              <w:t>2</w:t>
            </w:r>
            <w:bookmarkEnd w:id="3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0F" w:rsidRPr="00EA050F">
              <w:rPr>
                <w:rFonts w:ascii="Times New Roman" w:hAnsi="Times New Roman"/>
                <w:sz w:val="24"/>
                <w:szCs w:val="24"/>
              </w:rPr>
              <w:t>к Положению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89654F" w:rsidRPr="0089654F" w:rsidRDefault="0089654F" w:rsidP="0089654F">
      <w:pPr>
        <w:widowControl w:val="0"/>
        <w:suppressAutoHyphens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21F7" w:rsidRDefault="0089654F" w:rsidP="008965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9654F">
        <w:rPr>
          <w:rFonts w:ascii="Times New Roman" w:eastAsia="Times New Roman" w:hAnsi="Times New Roman"/>
          <w:sz w:val="28"/>
          <w:szCs w:val="28"/>
          <w:lang w:eastAsia="zh-CN"/>
        </w:rPr>
        <w:t>Карта</w:t>
      </w:r>
      <w:r w:rsidR="004521F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9654F">
        <w:rPr>
          <w:rFonts w:ascii="Times New Roman" w:eastAsia="Times New Roman" w:hAnsi="Times New Roman"/>
          <w:sz w:val="28"/>
          <w:szCs w:val="28"/>
          <w:lang w:eastAsia="zh-CN"/>
        </w:rPr>
        <w:t>комплаенс-</w:t>
      </w:r>
      <w:r w:rsidRPr="0089654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рисков </w:t>
      </w:r>
    </w:p>
    <w:p w:rsidR="0089654F" w:rsidRPr="0089654F" w:rsidRDefault="0089654F" w:rsidP="008965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9654F">
        <w:rPr>
          <w:rFonts w:ascii="Times New Roman" w:eastAsia="Times New Roman" w:hAnsi="Times New Roman"/>
          <w:bCs/>
          <w:sz w:val="28"/>
          <w:szCs w:val="28"/>
          <w:lang w:eastAsia="zh-CN"/>
        </w:rPr>
        <w:t>нарушения антимонопольного законодательства</w:t>
      </w:r>
    </w:p>
    <w:p w:rsidR="0089654F" w:rsidRPr="0089654F" w:rsidRDefault="0089654F" w:rsidP="008965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014"/>
        <w:gridCol w:w="1955"/>
        <w:gridCol w:w="1984"/>
      </w:tblGrid>
      <w:tr w:rsidR="0089654F" w:rsidRPr="0089654F" w:rsidTr="004521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4521F7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Выявленные комплаенс-риски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Уровень рисков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Описание элементов рисков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Причины возникновения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Вероятность повторного возникновения рисков</w:t>
            </w:r>
          </w:p>
        </w:tc>
      </w:tr>
      <w:tr w:rsidR="0089654F" w:rsidRPr="0089654F" w:rsidTr="004521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4F" w:rsidRPr="0089654F" w:rsidRDefault="0089654F" w:rsidP="00452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9654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</w:t>
            </w:r>
          </w:p>
        </w:tc>
      </w:tr>
    </w:tbl>
    <w:p w:rsidR="0089654F" w:rsidRPr="0089654F" w:rsidRDefault="0089654F" w:rsidP="0089654F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1883" w:rsidRDefault="00011883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BD5B6D" w:rsidTr="00EC5C97">
        <w:tc>
          <w:tcPr>
            <w:tcW w:w="3115" w:type="dxa"/>
          </w:tcPr>
          <w:p w:rsidR="00BD5B6D" w:rsidRDefault="00BD5B6D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D5B6D" w:rsidRDefault="00BD5B6D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BD5B6D" w:rsidRPr="0089654F" w:rsidRDefault="00BD5B6D" w:rsidP="00EC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П3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End w:id="4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0F" w:rsidRPr="00EA050F">
              <w:rPr>
                <w:rFonts w:ascii="Times New Roman" w:hAnsi="Times New Roman"/>
                <w:sz w:val="24"/>
                <w:szCs w:val="24"/>
              </w:rPr>
              <w:t>к Положению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5B6D">
        <w:rPr>
          <w:rFonts w:ascii="Times New Roman" w:eastAsia="Times New Roman" w:hAnsi="Times New Roman"/>
          <w:sz w:val="28"/>
          <w:szCs w:val="28"/>
          <w:lang w:eastAsia="zh-CN"/>
        </w:rPr>
        <w:t>ПЛАН мероприятий («дорожная карта»)</w:t>
      </w: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5B6D">
        <w:rPr>
          <w:rFonts w:ascii="Times New Roman" w:eastAsia="Times New Roman" w:hAnsi="Times New Roman"/>
          <w:sz w:val="28"/>
          <w:szCs w:val="28"/>
          <w:lang w:eastAsia="zh-CN"/>
        </w:rPr>
        <w:t xml:space="preserve"> по снижению комплаенс-рисков нарушения антимонопольного законодательства</w:t>
      </w: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552"/>
        <w:gridCol w:w="2126"/>
      </w:tblGrid>
      <w:tr w:rsidR="00BD5B6D" w:rsidRPr="00BD5B6D" w:rsidTr="004521F7">
        <w:trPr>
          <w:trHeight w:hRule="exact" w:val="1621"/>
        </w:trPr>
        <w:tc>
          <w:tcPr>
            <w:tcW w:w="562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before="60" w:after="0" w:line="260" w:lineRule="exact"/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Наименование комплаенс-риска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Общие меры по минимизации</w:t>
            </w:r>
            <w:r w:rsidR="004521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 устранению комплаенс-рисков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Действия, направленные на минимизацию</w:t>
            </w:r>
            <w:r w:rsidR="004521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 устранение комплаенс-рисков</w:t>
            </w:r>
          </w:p>
          <w:p w:rsidR="00BD5B6D" w:rsidRPr="00BD5B6D" w:rsidRDefault="00BD5B6D" w:rsidP="004521F7">
            <w:pPr>
              <w:suppressAutoHyphens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(в течение года)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  <w:r w:rsidR="004521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</w:tr>
      <w:tr w:rsidR="00BD5B6D" w:rsidRPr="00BD5B6D" w:rsidTr="004521F7">
        <w:trPr>
          <w:trHeight w:hRule="exact" w:val="302"/>
        </w:trPr>
        <w:tc>
          <w:tcPr>
            <w:tcW w:w="562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5B6D" w:rsidRPr="00BD5B6D" w:rsidRDefault="00BD5B6D" w:rsidP="004521F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B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</w:tbl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BD5B6D" w:rsidTr="00EC5C97">
        <w:tc>
          <w:tcPr>
            <w:tcW w:w="3115" w:type="dxa"/>
          </w:tcPr>
          <w:p w:rsidR="00BD5B6D" w:rsidRDefault="00BD5B6D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D5B6D" w:rsidRDefault="00BD5B6D" w:rsidP="00EC5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BD5B6D" w:rsidRPr="0089654F" w:rsidRDefault="00BD5B6D" w:rsidP="00EC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П4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End w:id="5"/>
            <w:r w:rsidRPr="0089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0F" w:rsidRPr="00EA050F">
              <w:rPr>
                <w:rFonts w:ascii="Times New Roman" w:hAnsi="Times New Roman"/>
                <w:sz w:val="24"/>
                <w:szCs w:val="24"/>
              </w:rPr>
              <w:t>к Положению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BD5B6D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BD5B6D">
        <w:rPr>
          <w:rFonts w:ascii="Times New Roman" w:eastAsia="Times New Roman" w:hAnsi="Times New Roman"/>
          <w:sz w:val="28"/>
          <w:szCs w:val="28"/>
          <w:lang w:eastAsia="zh-CN"/>
        </w:rPr>
        <w:t>Методика расчета к</w:t>
      </w:r>
      <w:r w:rsidRPr="00BD5B6D">
        <w:rPr>
          <w:rFonts w:ascii="Times New Roman" w:eastAsia="Times New Roman" w:hAnsi="Times New Roman"/>
          <w:bCs/>
          <w:sz w:val="28"/>
          <w:szCs w:val="28"/>
          <w:lang w:eastAsia="zh-CN"/>
        </w:rPr>
        <w:t>лючевых показателей и оценки эффективности функционирования системы обеспечения антимонопольных требований</w:t>
      </w: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BD5B6D" w:rsidRPr="00BD5B6D" w:rsidRDefault="00BD5B6D" w:rsidP="0014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определяет порядок расчета ключевых показателей эффективности функционирования системы обеспечения антимонопольных требований.</w:t>
      </w:r>
    </w:p>
    <w:p w:rsidR="00BD5B6D" w:rsidRPr="00BD5B6D" w:rsidRDefault="00BD5B6D" w:rsidP="0014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6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Периодом, за который производится оценка эффективности функционирования системы</w:t>
      </w: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антимонопольных требований, является календарный год.</w:t>
      </w:r>
    </w:p>
    <w:p w:rsidR="00BD5B6D" w:rsidRPr="00BD5B6D" w:rsidRDefault="00BD5B6D" w:rsidP="0014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6D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Ключевым показателям присваивается удельный вес - баллы эффективности, общей суммой</w:t>
      </w: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 xml:space="preserve"> 100 баллов при максимальной эффективности.</w:t>
      </w:r>
    </w:p>
    <w:p w:rsidR="00BD5B6D" w:rsidRDefault="00BD5B6D" w:rsidP="0014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эффективности производится путем суммирования полученных баллов по каждому показателю в соответствии с Таблицей </w:t>
      </w:r>
      <w:r w:rsidR="0014279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>1 и является:</w:t>
      </w:r>
    </w:p>
    <w:p w:rsidR="00BD5B6D" w:rsidRPr="00142790" w:rsidRDefault="00BD5B6D" w:rsidP="0014279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90">
        <w:rPr>
          <w:rFonts w:ascii="Times New Roman" w:eastAsia="Times New Roman" w:hAnsi="Times New Roman"/>
          <w:sz w:val="28"/>
          <w:szCs w:val="28"/>
          <w:lang w:eastAsia="ru-RU"/>
        </w:rPr>
        <w:t>высокой - при сумме баллов свыше 70 до 100;</w:t>
      </w:r>
    </w:p>
    <w:p w:rsidR="00BD5B6D" w:rsidRPr="00142790" w:rsidRDefault="00BD5B6D" w:rsidP="0014279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90">
        <w:rPr>
          <w:rFonts w:ascii="Times New Roman" w:eastAsia="Times New Roman" w:hAnsi="Times New Roman"/>
          <w:sz w:val="28"/>
          <w:szCs w:val="28"/>
          <w:lang w:eastAsia="ru-RU"/>
        </w:rPr>
        <w:t>средней - при сумме баллов свыше 40 до 70;</w:t>
      </w:r>
    </w:p>
    <w:p w:rsidR="00BD5B6D" w:rsidRPr="00142790" w:rsidRDefault="00BD5B6D" w:rsidP="0014279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90">
        <w:rPr>
          <w:rFonts w:ascii="Times New Roman" w:eastAsia="Times New Roman" w:hAnsi="Times New Roman"/>
          <w:sz w:val="28"/>
          <w:szCs w:val="28"/>
          <w:lang w:eastAsia="ru-RU"/>
        </w:rPr>
        <w:t>низкой - при сумме баллов свыше 20 до 40;</w:t>
      </w:r>
    </w:p>
    <w:p w:rsidR="00BD5B6D" w:rsidRDefault="00BD5B6D" w:rsidP="0014279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790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неудовлетворительной - при сумме баллов до 20.</w:t>
      </w: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E78" w:rsidRDefault="007C0E78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790" w:rsidRDefault="00142790" w:rsidP="0014279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829"/>
      </w:tblGrid>
      <w:tr w:rsidR="00142790" w:rsidTr="00142790">
        <w:tc>
          <w:tcPr>
            <w:tcW w:w="1562" w:type="pct"/>
          </w:tcPr>
          <w:p w:rsidR="00142790" w:rsidRDefault="00142790" w:rsidP="001427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pct"/>
          </w:tcPr>
          <w:p w:rsidR="00142790" w:rsidRDefault="00142790" w:rsidP="001427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pct"/>
          </w:tcPr>
          <w:p w:rsidR="00142790" w:rsidRPr="00142790" w:rsidRDefault="00142790" w:rsidP="0014279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427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Таблица № 1</w:t>
            </w:r>
          </w:p>
        </w:tc>
      </w:tr>
    </w:tbl>
    <w:p w:rsidR="00BD5B6D" w:rsidRPr="00BD5B6D" w:rsidRDefault="00BD5B6D" w:rsidP="001427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5B6D" w:rsidRDefault="00BD5B6D" w:rsidP="00BD5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Удельный вес (баллы) ключевых показателей при проведении оценки эффективности функционирования </w:t>
      </w:r>
      <w:r w:rsidRPr="00BD5B6D">
        <w:rPr>
          <w:rFonts w:ascii="Times New Roman" w:eastAsia="Times New Roman" w:hAnsi="Times New Roman"/>
          <w:sz w:val="28"/>
          <w:szCs w:val="28"/>
          <w:lang w:eastAsia="ru-RU"/>
        </w:rPr>
        <w:t>системы обеспечения антимонопольных требований</w:t>
      </w:r>
    </w:p>
    <w:p w:rsidR="00142790" w:rsidRPr="00BD5B6D" w:rsidRDefault="00142790" w:rsidP="00BD5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7400"/>
        <w:gridCol w:w="2092"/>
      </w:tblGrid>
      <w:tr w:rsidR="00BD5B6D" w:rsidRPr="00BD5B6D" w:rsidTr="0014279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142790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D5B6D"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показатели эффективности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в баллах</w:t>
            </w:r>
          </w:p>
        </w:tc>
      </w:tr>
      <w:tr w:rsidR="00BD5B6D" w:rsidRPr="00BD5B6D" w:rsidTr="00142790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142790" w:rsidP="001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</w:t>
            </w:r>
            <w:r w:rsidR="00BD5B6D" w:rsidRPr="00BD5B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5B6D" w:rsidRPr="00BD5B6D" w:rsidTr="00142790">
        <w:trPr>
          <w:trHeight w:val="22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BD5B6D" w:rsidRPr="00BD5B6D" w:rsidTr="00142790">
        <w:trPr>
          <w:trHeight w:val="22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D5B6D" w:rsidRPr="00BD5B6D" w:rsidTr="00142790">
        <w:trPr>
          <w:trHeight w:val="88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142790" w:rsidP="001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="00BD5B6D" w:rsidRPr="00BD5B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5B6D" w:rsidRPr="00BD5B6D" w:rsidTr="00142790">
        <w:trPr>
          <w:trHeight w:val="22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 предупреждений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BD5B6D" w:rsidRPr="00BD5B6D" w:rsidTr="00142790">
        <w:trPr>
          <w:trHeight w:val="22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D5B6D" w:rsidRPr="00BD5B6D" w:rsidTr="00142790">
        <w:trPr>
          <w:trHeight w:val="22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D5B6D" w:rsidRPr="00BD5B6D" w:rsidTr="00142790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142790" w:rsidP="001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="00BD5B6D" w:rsidRPr="00BD5B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Нет возбужденных дел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BD5B6D" w:rsidRPr="00BD5B6D" w:rsidTr="00142790">
        <w:trPr>
          <w:trHeight w:val="163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142790" w:rsidP="001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="00BD5B6D" w:rsidRPr="00BD5B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Нет фактов привлечения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BD5B6D" w:rsidRPr="00BD5B6D" w:rsidTr="0014279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6D" w:rsidRPr="00BD5B6D" w:rsidRDefault="00BD5B6D" w:rsidP="0014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BD5B6D" w:rsidRPr="00BD5B6D" w:rsidRDefault="00BD5B6D" w:rsidP="00BD5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B6D" w:rsidRPr="00122D15" w:rsidRDefault="00BD5B6D" w:rsidP="00122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5B6D" w:rsidRPr="00122D15" w:rsidSect="00142790">
      <w:headerReference w:type="first" r:id="rId11"/>
      <w:pgSz w:w="11906" w:h="16838"/>
      <w:pgMar w:top="1134" w:right="567" w:bottom="1134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03B" w:rsidRDefault="0098403B" w:rsidP="00BD5B6D">
      <w:pPr>
        <w:spacing w:after="0" w:line="240" w:lineRule="auto"/>
      </w:pPr>
      <w:r>
        <w:separator/>
      </w:r>
    </w:p>
  </w:endnote>
  <w:endnote w:type="continuationSeparator" w:id="0">
    <w:p w:rsidR="0098403B" w:rsidRDefault="0098403B" w:rsidP="00B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03B" w:rsidRDefault="0098403B" w:rsidP="00BD5B6D">
      <w:pPr>
        <w:spacing w:after="0" w:line="240" w:lineRule="auto"/>
      </w:pPr>
      <w:r>
        <w:separator/>
      </w:r>
    </w:p>
  </w:footnote>
  <w:footnote w:type="continuationSeparator" w:id="0">
    <w:p w:rsidR="0098403B" w:rsidRDefault="0098403B" w:rsidP="00B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773351"/>
      <w:docPartObj>
        <w:docPartGallery w:val="Page Numbers (Top of Page)"/>
        <w:docPartUnique/>
      </w:docPartObj>
    </w:sdtPr>
    <w:sdtEndPr/>
    <w:sdtContent>
      <w:p w:rsidR="00BD5B6D" w:rsidRDefault="00BD5B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5B6D" w:rsidRDefault="00BD5B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0F" w:rsidRDefault="00EA050F">
    <w:pPr>
      <w:pStyle w:val="a7"/>
      <w:jc w:val="center"/>
    </w:pPr>
  </w:p>
  <w:p w:rsidR="00EA050F" w:rsidRDefault="00EA05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675085"/>
      <w:docPartObj>
        <w:docPartGallery w:val="Page Numbers (Top of Page)"/>
        <w:docPartUnique/>
      </w:docPartObj>
    </w:sdtPr>
    <w:sdtEndPr/>
    <w:sdtContent>
      <w:p w:rsidR="00EA050F" w:rsidRDefault="0029613B">
        <w:pPr>
          <w:pStyle w:val="a7"/>
          <w:jc w:val="center"/>
        </w:pPr>
      </w:p>
    </w:sdtContent>
  </w:sdt>
  <w:p w:rsidR="00EA050F" w:rsidRDefault="00EA050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107094"/>
      <w:docPartObj>
        <w:docPartGallery w:val="Page Numbers (Top of Page)"/>
        <w:docPartUnique/>
      </w:docPartObj>
    </w:sdtPr>
    <w:sdtEndPr/>
    <w:sdtContent>
      <w:p w:rsidR="00EA050F" w:rsidRDefault="00EA05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050F" w:rsidRDefault="00EA05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58E"/>
    <w:multiLevelType w:val="hybridMultilevel"/>
    <w:tmpl w:val="4C469C2C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44F"/>
    <w:multiLevelType w:val="multilevel"/>
    <w:tmpl w:val="73C243DC"/>
    <w:lvl w:ilvl="0">
      <w:start w:val="1"/>
      <w:numFmt w:val="decimal"/>
      <w:lvlText w:val="6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43650C"/>
    <w:multiLevelType w:val="multilevel"/>
    <w:tmpl w:val="81D43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530657"/>
    <w:multiLevelType w:val="multilevel"/>
    <w:tmpl w:val="C72A3C98"/>
    <w:lvl w:ilvl="0">
      <w:start w:val="1"/>
      <w:numFmt w:val="decimal"/>
      <w:lvlText w:val="7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870F03"/>
    <w:multiLevelType w:val="multilevel"/>
    <w:tmpl w:val="73C243DC"/>
    <w:lvl w:ilvl="0">
      <w:start w:val="1"/>
      <w:numFmt w:val="decimal"/>
      <w:lvlText w:val="6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D261EA"/>
    <w:multiLevelType w:val="hybridMultilevel"/>
    <w:tmpl w:val="13BA04D8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13F"/>
    <w:multiLevelType w:val="multilevel"/>
    <w:tmpl w:val="3D8C859A"/>
    <w:lvl w:ilvl="0">
      <w:start w:val="4"/>
      <w:numFmt w:val="decimal"/>
      <w:lvlText w:val="5.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B076A7"/>
    <w:multiLevelType w:val="hybridMultilevel"/>
    <w:tmpl w:val="7A22CA46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C379B"/>
    <w:multiLevelType w:val="hybridMultilevel"/>
    <w:tmpl w:val="0DBA016C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4B2"/>
    <w:multiLevelType w:val="multilevel"/>
    <w:tmpl w:val="BD723212"/>
    <w:lvl w:ilvl="0">
      <w:start w:val="1"/>
      <w:numFmt w:val="decimal"/>
      <w:lvlText w:val="8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AE7F05"/>
    <w:multiLevelType w:val="multilevel"/>
    <w:tmpl w:val="81D433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492D08"/>
    <w:multiLevelType w:val="hybridMultilevel"/>
    <w:tmpl w:val="95464960"/>
    <w:lvl w:ilvl="0" w:tplc="893A16D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C0D"/>
    <w:multiLevelType w:val="hybridMultilevel"/>
    <w:tmpl w:val="1CA41FB8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D00"/>
    <w:multiLevelType w:val="hybridMultilevel"/>
    <w:tmpl w:val="38102BC6"/>
    <w:lvl w:ilvl="0" w:tplc="F60CBE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BC9"/>
    <w:multiLevelType w:val="multilevel"/>
    <w:tmpl w:val="302080FA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226160"/>
    <w:multiLevelType w:val="hybridMultilevel"/>
    <w:tmpl w:val="D0EEFAAA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4F54"/>
    <w:multiLevelType w:val="multilevel"/>
    <w:tmpl w:val="AEC8D024"/>
    <w:lvl w:ilvl="0">
      <w:start w:val="1"/>
      <w:numFmt w:val="decimal"/>
      <w:lvlText w:val="5.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C913DC"/>
    <w:multiLevelType w:val="hybridMultilevel"/>
    <w:tmpl w:val="446EAD82"/>
    <w:lvl w:ilvl="0" w:tplc="F60CBE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85F20"/>
    <w:multiLevelType w:val="hybridMultilevel"/>
    <w:tmpl w:val="9AFC3F9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007"/>
    <w:multiLevelType w:val="hybridMultilevel"/>
    <w:tmpl w:val="7BC80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F97B92"/>
    <w:multiLevelType w:val="hybridMultilevel"/>
    <w:tmpl w:val="0E5096B2"/>
    <w:lvl w:ilvl="0" w:tplc="C4DEF6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0721AA"/>
    <w:multiLevelType w:val="hybridMultilevel"/>
    <w:tmpl w:val="83AA77B8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2E26"/>
    <w:multiLevelType w:val="hybridMultilevel"/>
    <w:tmpl w:val="475AA4D4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522B1"/>
    <w:multiLevelType w:val="multilevel"/>
    <w:tmpl w:val="48101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E27680"/>
    <w:multiLevelType w:val="hybridMultilevel"/>
    <w:tmpl w:val="5B44AB4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65FDA"/>
    <w:multiLevelType w:val="hybridMultilevel"/>
    <w:tmpl w:val="E20EBAA0"/>
    <w:lvl w:ilvl="0" w:tplc="C4DEF6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1C7D5D"/>
    <w:multiLevelType w:val="hybridMultilevel"/>
    <w:tmpl w:val="140C81B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4A23"/>
    <w:multiLevelType w:val="hybridMultilevel"/>
    <w:tmpl w:val="CCD21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23"/>
  </w:num>
  <w:num w:numId="5">
    <w:abstractNumId w:val="5"/>
  </w:num>
  <w:num w:numId="6">
    <w:abstractNumId w:val="12"/>
  </w:num>
  <w:num w:numId="7">
    <w:abstractNumId w:val="13"/>
  </w:num>
  <w:num w:numId="8">
    <w:abstractNumId w:val="2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 w:numId="20">
    <w:abstractNumId w:val="10"/>
  </w:num>
  <w:num w:numId="21">
    <w:abstractNumId w:val="1"/>
  </w:num>
  <w:num w:numId="22">
    <w:abstractNumId w:val="15"/>
  </w:num>
  <w:num w:numId="23">
    <w:abstractNumId w:val="22"/>
  </w:num>
  <w:num w:numId="24">
    <w:abstractNumId w:val="3"/>
  </w:num>
  <w:num w:numId="25">
    <w:abstractNumId w:val="9"/>
  </w:num>
  <w:num w:numId="26">
    <w:abstractNumId w:val="19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83"/>
    <w:rsid w:val="000060FA"/>
    <w:rsid w:val="00011883"/>
    <w:rsid w:val="00122D15"/>
    <w:rsid w:val="00142790"/>
    <w:rsid w:val="001979D6"/>
    <w:rsid w:val="001A54DC"/>
    <w:rsid w:val="002647BE"/>
    <w:rsid w:val="0029613B"/>
    <w:rsid w:val="003F0418"/>
    <w:rsid w:val="004521F7"/>
    <w:rsid w:val="00771CCB"/>
    <w:rsid w:val="007C0E78"/>
    <w:rsid w:val="00830CDB"/>
    <w:rsid w:val="00883123"/>
    <w:rsid w:val="00886DF8"/>
    <w:rsid w:val="0089654F"/>
    <w:rsid w:val="00977BF1"/>
    <w:rsid w:val="0098403B"/>
    <w:rsid w:val="00A126D2"/>
    <w:rsid w:val="00A775B7"/>
    <w:rsid w:val="00B33B38"/>
    <w:rsid w:val="00BD5B6D"/>
    <w:rsid w:val="00C20BBD"/>
    <w:rsid w:val="00C50D38"/>
    <w:rsid w:val="00C91109"/>
    <w:rsid w:val="00CB6357"/>
    <w:rsid w:val="00D0285A"/>
    <w:rsid w:val="00EA050F"/>
    <w:rsid w:val="00EB10CB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8BB5"/>
  <w15:chartTrackingRefBased/>
  <w15:docId w15:val="{F1B6B48B-EC36-44C6-9900-1293D6F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22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12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B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B6D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4521F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521F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52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0ED2-2644-4152-A551-DC06B4F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2020-09-24T14:07:00Z</cp:lastPrinted>
  <dcterms:created xsi:type="dcterms:W3CDTF">2020-09-28T06:38:00Z</dcterms:created>
  <dcterms:modified xsi:type="dcterms:W3CDTF">2020-09-28T06:38:00Z</dcterms:modified>
</cp:coreProperties>
</file>