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Default="002C6644" w:rsidP="00772558">
      <w:pPr>
        <w:rPr>
          <w:color w:val="000000"/>
          <w:spacing w:val="6"/>
          <w:sz w:val="28"/>
          <w:szCs w:val="28"/>
        </w:rPr>
      </w:pPr>
    </w:p>
    <w:p w:rsidR="002C6644" w:rsidRPr="002C6644" w:rsidRDefault="00816BB7" w:rsidP="002C6644">
      <w:pPr>
        <w:jc w:val="right"/>
        <w:rPr>
          <w:sz w:val="20"/>
        </w:rPr>
      </w:pPr>
      <w:r>
        <w:t>ПРОЕКТ</w:t>
      </w:r>
    </w:p>
    <w:p w:rsidR="002C6644" w:rsidRPr="002C6644" w:rsidRDefault="002C6644" w:rsidP="002C6644">
      <w:pPr>
        <w:jc w:val="right"/>
        <w:rPr>
          <w:sz w:val="20"/>
          <w:szCs w:val="20"/>
        </w:rPr>
      </w:pPr>
    </w:p>
    <w:p w:rsidR="002C6644" w:rsidRPr="002C6644" w:rsidRDefault="002C6644" w:rsidP="002C6644">
      <w:pPr>
        <w:jc w:val="center"/>
        <w:rPr>
          <w:b/>
        </w:rPr>
      </w:pPr>
      <w:r w:rsidRPr="002C6644">
        <w:rPr>
          <w:b/>
        </w:rPr>
        <w:t>ПРОГРАММА</w:t>
      </w:r>
    </w:p>
    <w:p w:rsidR="002C6644" w:rsidRPr="002C6644" w:rsidRDefault="002C6644" w:rsidP="002C6644">
      <w:pPr>
        <w:jc w:val="center"/>
        <w:rPr>
          <w:b/>
          <w:spacing w:val="1"/>
        </w:rPr>
      </w:pPr>
      <w:r w:rsidRPr="002C6644">
        <w:rPr>
          <w:b/>
          <w:highlight w:val="white"/>
        </w:rPr>
        <w:t xml:space="preserve">профилактики </w:t>
      </w:r>
      <w:r w:rsidRPr="002C6644">
        <w:rPr>
          <w:b/>
        </w:rPr>
        <w:t xml:space="preserve">рисков причинения вреда (ущерба) охраняемым законом ценностям </w:t>
      </w:r>
      <w:r w:rsidR="00C3320C" w:rsidRPr="00C3320C">
        <w:rPr>
          <w:b/>
        </w:rPr>
        <w:t>в рамках</w:t>
      </w:r>
      <w:r w:rsidRPr="002C6644">
        <w:rPr>
          <w:b/>
        </w:rPr>
        <w:t xml:space="preserve"> муниципально</w:t>
      </w:r>
      <w:r w:rsidR="00C3320C">
        <w:rPr>
          <w:b/>
        </w:rPr>
        <w:t>го</w:t>
      </w:r>
      <w:r w:rsidRPr="002C6644">
        <w:rPr>
          <w:b/>
        </w:rPr>
        <w:t xml:space="preserve"> контрол</w:t>
      </w:r>
      <w:r w:rsidR="00C3320C">
        <w:rPr>
          <w:b/>
        </w:rPr>
        <w:t>я</w:t>
      </w:r>
      <w:r w:rsidRPr="002C6644">
        <w:rPr>
          <w:b/>
        </w:rPr>
        <w:t xml:space="preserve"> в сфере благоустройства на территории муниципального образования </w:t>
      </w:r>
      <w:r w:rsidR="00C3320C" w:rsidRPr="00C3320C">
        <w:rPr>
          <w:b/>
        </w:rPr>
        <w:t>«Токсовское городское поселение» Всеволожского муниципально</w:t>
      </w:r>
      <w:r w:rsidR="00C3320C">
        <w:rPr>
          <w:b/>
        </w:rPr>
        <w:t xml:space="preserve">го района Ленинградской области </w:t>
      </w:r>
      <w:r w:rsidRPr="002C6644">
        <w:rPr>
          <w:b/>
        </w:rPr>
        <w:t>на 202</w:t>
      </w:r>
      <w:r w:rsidR="00074F7A">
        <w:rPr>
          <w:b/>
        </w:rPr>
        <w:t>4</w:t>
      </w:r>
      <w:r w:rsidRPr="002C6644">
        <w:rPr>
          <w:b/>
        </w:rPr>
        <w:t xml:space="preserve"> год </w:t>
      </w:r>
    </w:p>
    <w:p w:rsidR="002C6644" w:rsidRPr="002C6644" w:rsidRDefault="002C6644" w:rsidP="002C6644">
      <w:pPr>
        <w:jc w:val="center"/>
        <w:rPr>
          <w:b/>
          <w:spacing w:val="-2"/>
        </w:rPr>
      </w:pPr>
    </w:p>
    <w:p w:rsidR="002C6644" w:rsidRPr="002C6644" w:rsidRDefault="002C6644" w:rsidP="002C6644">
      <w:pPr>
        <w:jc w:val="center"/>
      </w:pPr>
      <w:r w:rsidRPr="002C6644">
        <w:rPr>
          <w:b/>
          <w:spacing w:val="-2"/>
        </w:rPr>
        <w:t>Общие положения</w:t>
      </w:r>
    </w:p>
    <w:p w:rsidR="002C6644" w:rsidRPr="002C6644" w:rsidRDefault="002C6644" w:rsidP="002C6644">
      <w:pPr>
        <w:jc w:val="center"/>
        <w:rPr>
          <w:b/>
          <w:spacing w:val="-2"/>
        </w:rPr>
      </w:pPr>
    </w:p>
    <w:p w:rsidR="002C6644" w:rsidRPr="002C6644" w:rsidRDefault="002C6644" w:rsidP="002C6644">
      <w:pPr>
        <w:ind w:firstLine="709"/>
        <w:jc w:val="both"/>
      </w:pPr>
      <w:r w:rsidRPr="002C6644">
        <w:t xml:space="preserve">1. Программа профилактики рисков причинения вреда (ущерба) охраняемым законом ценностям </w:t>
      </w:r>
      <w:r w:rsidR="00C3320C">
        <w:t>в рамках</w:t>
      </w:r>
      <w:r w:rsidRPr="002C6644">
        <w:t xml:space="preserve"> муниципально</w:t>
      </w:r>
      <w:r w:rsidR="00C3320C">
        <w:t>го</w:t>
      </w:r>
      <w:r w:rsidRPr="002C6644">
        <w:t xml:space="preserve"> контрол</w:t>
      </w:r>
      <w:r w:rsidR="00C3320C">
        <w:t>я</w:t>
      </w:r>
      <w:r w:rsidRPr="002C6644">
        <w:t xml:space="preserve"> в сфере благоустройства </w:t>
      </w:r>
      <w:r w:rsidR="00C3320C">
        <w:t xml:space="preserve">                    </w:t>
      </w:r>
      <w:r w:rsidRPr="002C6644">
        <w:t xml:space="preserve">на территории муниципального образования </w:t>
      </w:r>
      <w:r w:rsidR="00C3320C" w:rsidRPr="00C3320C">
        <w:t>«Токсовское городское поселение» Всеволожского муниципально</w:t>
      </w:r>
      <w:r w:rsidR="00A24C92">
        <w:t>го района Ленинградской области</w:t>
      </w:r>
      <w:r w:rsidRPr="002C6644">
        <w:t xml:space="preserve"> на 202</w:t>
      </w:r>
      <w:r w:rsidR="00074F7A">
        <w:t>4</w:t>
      </w:r>
      <w:r w:rsidRPr="002C6644">
        <w:t xml:space="preserve"> год</w:t>
      </w:r>
      <w:r w:rsidRPr="002C6644">
        <w:rPr>
          <w:b/>
        </w:rPr>
        <w:t xml:space="preserve"> </w:t>
      </w:r>
      <w:r w:rsidRPr="002C6644">
        <w:t>(</w:t>
      </w:r>
      <w:r w:rsidRPr="002C6644">
        <w:rPr>
          <w:i/>
        </w:rPr>
        <w:t>далее – Программа профилактики</w:t>
      </w:r>
      <w:r w:rsidRPr="002C6644"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</w:t>
      </w:r>
      <w:r w:rsidR="00A24C92">
        <w:t>ельства РФ от 25.06.2021 N 990 «</w:t>
      </w:r>
      <w:r w:rsidRPr="002C6644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A24C92">
        <w:t>а) охраняемым законом ценностям»</w:t>
      </w:r>
      <w:r w:rsidRPr="002C6644">
        <w:t xml:space="preserve">, </w:t>
      </w:r>
      <w:r w:rsidRPr="002C6644">
        <w:rPr>
          <w:rFonts w:eastAsia="Calibri"/>
          <w:lang w:eastAsia="en-US"/>
        </w:rPr>
        <w:t xml:space="preserve">решением </w:t>
      </w:r>
      <w:r w:rsidRPr="002C6644">
        <w:t xml:space="preserve">совета депутатов муниципального образования </w:t>
      </w:r>
      <w:r w:rsidR="00A24C92" w:rsidRPr="00A24C92">
        <w:t>«Токсовское городское поселение» Всеволожского муниципально</w:t>
      </w:r>
      <w:r w:rsidR="00A24C92">
        <w:t xml:space="preserve">го района Ленинградской области </w:t>
      </w:r>
      <w:r w:rsidRPr="002C6644">
        <w:t xml:space="preserve">от </w:t>
      </w:r>
      <w:r w:rsidR="00A24C92" w:rsidRPr="00A24C92">
        <w:t xml:space="preserve">22.02.2022 г. № 11 </w:t>
      </w:r>
      <w:r w:rsidR="00A24C92" w:rsidRPr="00A24C92">
        <w:rPr>
          <w:szCs w:val="28"/>
        </w:rPr>
        <w:t>«Об утверждении Положения</w:t>
      </w:r>
      <w:r w:rsidR="00652E6D">
        <w:rPr>
          <w:szCs w:val="28"/>
        </w:rPr>
        <w:t xml:space="preserve">                             </w:t>
      </w:r>
      <w:r w:rsidR="00A24C92" w:rsidRPr="00A24C92">
        <w:rPr>
          <w:szCs w:val="28"/>
        </w:rPr>
        <w:t xml:space="preserve"> о муниципальном контроле в сфере благоустройства на территории муниципального образования «Токсовское городское поселение» Всеволожского муниципального района Ленинградской области», </w:t>
      </w:r>
      <w:r w:rsidRPr="002C6644">
        <w:t xml:space="preserve">в целях организации проведения администрацией муниципального образования </w:t>
      </w:r>
      <w:r w:rsidR="00A24C92" w:rsidRPr="00A24C92">
        <w:t xml:space="preserve">«Токсовское городское поселение» Всеволожского муниципального района Ленинградской области </w:t>
      </w:r>
      <w:r w:rsidRPr="002C6644">
        <w:t>(</w:t>
      </w:r>
      <w:r w:rsidRPr="002C6644">
        <w:rPr>
          <w:i/>
        </w:rPr>
        <w:t xml:space="preserve">далее – администрация </w:t>
      </w:r>
      <w:r w:rsidR="00A24C92" w:rsidRPr="00A24C92">
        <w:rPr>
          <w:i/>
        </w:rPr>
        <w:t>«Токсовское городское поселение» Всеволожского муниципального района Ленинградской области</w:t>
      </w:r>
      <w:r w:rsidRPr="002C6644">
        <w:rPr>
          <w:i/>
        </w:rPr>
        <w:t>, орган муниципального контроля, контрольный орган</w:t>
      </w:r>
      <w:r w:rsidRPr="002C6644">
        <w:t>) профилактики нарушений обязательных требований, установленных федеральными законами и принятыми</w:t>
      </w:r>
      <w:r w:rsidR="00A24C92">
        <w:t xml:space="preserve">                     </w:t>
      </w:r>
      <w:r w:rsidRPr="002C6644">
        <w:t xml:space="preserve">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2C6644" w:rsidRPr="002C6644" w:rsidRDefault="002C6644" w:rsidP="002C6644">
      <w:pPr>
        <w:ind w:firstLine="709"/>
        <w:jc w:val="both"/>
      </w:pPr>
      <w:r w:rsidRPr="002C6644"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2C6644">
        <w:rPr>
          <w:i/>
        </w:rPr>
        <w:t>(далее - муниципальный контроль в сфере благоустройства).</w:t>
      </w:r>
    </w:p>
    <w:p w:rsidR="002C6644" w:rsidRPr="002C6644" w:rsidRDefault="002C6644" w:rsidP="002C6644">
      <w:pPr>
        <w:ind w:firstLine="709"/>
        <w:jc w:val="both"/>
      </w:pPr>
      <w:r w:rsidRPr="002C6644">
        <w:t>3. Программа реализуется в 202</w:t>
      </w:r>
      <w:r w:rsidR="00074F7A">
        <w:t>4</w:t>
      </w:r>
      <w:r w:rsidRPr="002C6644">
        <w:t xml:space="preserve"> году и содержит описание текущего состояния муниципального контроля в сфере благоустройства, проект плана мероприятий </w:t>
      </w:r>
      <w:r w:rsidR="00652E6D">
        <w:t xml:space="preserve">                      </w:t>
      </w:r>
      <w:r w:rsidRPr="002C6644">
        <w:t>по профилактике нарушений на 202</w:t>
      </w:r>
      <w:r w:rsidR="00074F7A">
        <w:t>4</w:t>
      </w:r>
      <w:r w:rsidRPr="002C6644">
        <w:t xml:space="preserve"> год и показатели оценки реализации Программы профилактики.</w:t>
      </w:r>
    </w:p>
    <w:p w:rsidR="002C6644" w:rsidRPr="002C6644" w:rsidRDefault="002C6644" w:rsidP="002C6644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</w:rPr>
      </w:pPr>
    </w:p>
    <w:p w:rsidR="002C6644" w:rsidRPr="002C6644" w:rsidRDefault="002C6644" w:rsidP="002C6644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</w:pPr>
      <w:r w:rsidRPr="002C6644">
        <w:rPr>
          <w:b/>
          <w:spacing w:val="10"/>
        </w:rPr>
        <w:t>Раздел 1. Анализ и оценка состояния подконтрольной сферы</w:t>
      </w:r>
    </w:p>
    <w:p w:rsidR="002C6644" w:rsidRPr="002C6644" w:rsidRDefault="002C6644" w:rsidP="002C6644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</w:rPr>
      </w:pPr>
    </w:p>
    <w:p w:rsidR="00FF3843" w:rsidRDefault="002C6644" w:rsidP="002C6644">
      <w:pPr>
        <w:widowControl w:val="0"/>
        <w:autoSpaceDE w:val="0"/>
        <w:autoSpaceDN w:val="0"/>
        <w:adjustRightInd w:val="0"/>
        <w:ind w:firstLine="540"/>
        <w:jc w:val="both"/>
      </w:pPr>
      <w:r w:rsidRPr="002C6644">
        <w:rPr>
          <w:spacing w:val="-2"/>
        </w:rPr>
        <w:t>1.1. В соответствии с Положением</w:t>
      </w:r>
      <w:r w:rsidR="00652E6D">
        <w:rPr>
          <w:spacing w:val="-2"/>
        </w:rPr>
        <w:t xml:space="preserve"> </w:t>
      </w:r>
      <w:r w:rsidR="00652E6D" w:rsidRPr="00652E6D">
        <w:t>о муниципальном контроле в сфере благоустройства на территории муниципального образования «Токсовское городское поселение» Всеволожского муниципального района Ленинградской области»</w:t>
      </w:r>
      <w:r w:rsidRPr="002C6644">
        <w:t xml:space="preserve">, утвержденным Решением Совета депутатов муниципального образования </w:t>
      </w:r>
      <w:r w:rsidR="00652E6D" w:rsidRPr="00652E6D">
        <w:t xml:space="preserve">«Токсовское городское поселение» Всеволожского муниципального района Ленинградской области от 22.02.2022 г. № 11 </w:t>
      </w:r>
      <w:r w:rsidRPr="002C6644">
        <w:rPr>
          <w:i/>
        </w:rPr>
        <w:t>(далее - Положение)</w:t>
      </w:r>
      <w:r w:rsidRPr="002C6644">
        <w:rPr>
          <w:spacing w:val="-2"/>
        </w:rPr>
        <w:t xml:space="preserve">, </w:t>
      </w:r>
      <w:r w:rsidRPr="002C6644">
        <w:t xml:space="preserve">органом, осуществляющим муниципальный контроль в сфере благоустройства на территории </w:t>
      </w:r>
      <w:r w:rsidR="00FF3843" w:rsidRPr="00FF3843">
        <w:t xml:space="preserve">муниципального образования </w:t>
      </w:r>
      <w:r w:rsidRPr="002C6644">
        <w:t xml:space="preserve">является </w:t>
      </w:r>
      <w:r w:rsidRPr="002C6644">
        <w:lastRenderedPageBreak/>
        <w:t xml:space="preserve">администрация </w:t>
      </w:r>
      <w:r w:rsidR="00FF3843" w:rsidRPr="00FF3843">
        <w:t>муниципального образования «Токсовское городское поселение» Всеволожского муниципально</w:t>
      </w:r>
      <w:r w:rsidR="00FF3843">
        <w:t xml:space="preserve">го района Ленинградской области. </w:t>
      </w:r>
    </w:p>
    <w:p w:rsidR="002C6644" w:rsidRPr="002C6644" w:rsidRDefault="002C6644" w:rsidP="002C6644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2C6644">
        <w:t xml:space="preserve">Структурное подразделение администрации </w:t>
      </w:r>
      <w:r w:rsidR="00FF3843" w:rsidRPr="00FF3843">
        <w:t>муниципального образования «Токсовское городское поселение» Всеволожского муниципально</w:t>
      </w:r>
      <w:r w:rsidR="00FF3843">
        <w:t>го района Ленинградской области</w:t>
      </w:r>
      <w:r w:rsidRPr="002C6644">
        <w:t xml:space="preserve">, ответственное за реализацию функции по осуществлению муниципального контроля в сфере благоустройства, а также должностные лица, </w:t>
      </w:r>
      <w:r w:rsidR="00FF3843">
        <w:t xml:space="preserve">                        </w:t>
      </w:r>
      <w:r w:rsidRPr="002C6644">
        <w:t xml:space="preserve">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Pr="002C6644">
        <w:rPr>
          <w:i/>
        </w:rPr>
        <w:t>(далее – инспектор, инспекторы)</w:t>
      </w:r>
      <w:r w:rsidRPr="002C6644">
        <w:t xml:space="preserve">, назначаются муниципальным правовым актом администрации </w:t>
      </w:r>
      <w:r w:rsidR="00FF3843" w:rsidRPr="00FF3843"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2C6644">
        <w:t>.</w:t>
      </w:r>
    </w:p>
    <w:p w:rsidR="002C6644" w:rsidRPr="002C6644" w:rsidRDefault="002C6644" w:rsidP="002C6644">
      <w:pPr>
        <w:widowControl w:val="0"/>
        <w:autoSpaceDE w:val="0"/>
        <w:autoSpaceDN w:val="0"/>
        <w:adjustRightInd w:val="0"/>
        <w:ind w:firstLine="540"/>
        <w:jc w:val="both"/>
      </w:pPr>
      <w:r w:rsidRPr="002C6644">
        <w:rPr>
          <w:iCs/>
        </w:rPr>
        <w:t>До 202</w:t>
      </w:r>
      <w:r w:rsidR="00074F7A">
        <w:rPr>
          <w:iCs/>
        </w:rPr>
        <w:t>4</w:t>
      </w:r>
      <w:r w:rsidRPr="002C6644">
        <w:rPr>
          <w:iCs/>
        </w:rPr>
        <w:t xml:space="preserve"> года мониторинг за соблюдением Правил благоустройства на территории </w:t>
      </w:r>
      <w:r w:rsidR="00FF3843" w:rsidRPr="00FF3843">
        <w:t>муниципального образования «Токсовское городское поселение» Всеволожского муниципально</w:t>
      </w:r>
      <w:r w:rsidR="00FF3843">
        <w:t>го района Ленинградской области</w:t>
      </w:r>
      <w:r w:rsidR="00FF3843" w:rsidRPr="002C6644">
        <w:rPr>
          <w:iCs/>
        </w:rPr>
        <w:t xml:space="preserve"> </w:t>
      </w:r>
      <w:r w:rsidRPr="002C6644">
        <w:rPr>
          <w:iCs/>
        </w:rPr>
        <w:t xml:space="preserve">осуществлял отдел </w:t>
      </w:r>
      <w:r w:rsidR="00FF3843">
        <w:rPr>
          <w:iCs/>
        </w:rPr>
        <w:t>жилищно-коммунального хозяйства и строительства</w:t>
      </w:r>
      <w:r w:rsidRPr="002C6644">
        <w:rPr>
          <w:iCs/>
        </w:rPr>
        <w:t xml:space="preserve"> администрации </w:t>
      </w:r>
      <w:r w:rsidR="00FF3843" w:rsidRPr="00FF3843"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2C6644">
        <w:rPr>
          <w:iCs/>
        </w:rPr>
        <w:t>, функция муниципального контроля</w:t>
      </w:r>
      <w:r w:rsidRPr="002C6644">
        <w:t xml:space="preserve"> в сфере благоустройства </w:t>
      </w:r>
      <w:r w:rsidR="00FF3843">
        <w:t xml:space="preserve">             </w:t>
      </w:r>
      <w:r w:rsidRPr="002C6644">
        <w:t>не осуществлялась, описание текущего уровня развития профилактическо</w:t>
      </w:r>
      <w:r w:rsidR="00FF3843">
        <w:t>й</w:t>
      </w:r>
      <w:r w:rsidRPr="002C6644">
        <w:t xml:space="preserve"> деятельности не представляется возможным.</w:t>
      </w:r>
    </w:p>
    <w:p w:rsidR="002C6644" w:rsidRPr="002C6644" w:rsidRDefault="002C6644" w:rsidP="002C6644">
      <w:pPr>
        <w:widowControl w:val="0"/>
        <w:autoSpaceDE w:val="0"/>
        <w:autoSpaceDN w:val="0"/>
        <w:adjustRightInd w:val="0"/>
        <w:ind w:firstLine="540"/>
        <w:jc w:val="both"/>
      </w:pPr>
    </w:p>
    <w:p w:rsidR="002C6644" w:rsidRPr="002C6644" w:rsidRDefault="002C6644" w:rsidP="002C664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C6644">
        <w:rPr>
          <w:b/>
        </w:rPr>
        <w:t xml:space="preserve">Раздел 2. Цели и задачи </w:t>
      </w:r>
      <w:r w:rsidRPr="002C6644">
        <w:rPr>
          <w:b/>
          <w:spacing w:val="-2"/>
        </w:rPr>
        <w:t>Программы профилактики</w:t>
      </w:r>
    </w:p>
    <w:p w:rsidR="002C6644" w:rsidRPr="002C6644" w:rsidRDefault="002C6644" w:rsidP="002C6644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</w:rPr>
      </w:pPr>
    </w:p>
    <w:p w:rsidR="002C6644" w:rsidRPr="002C6644" w:rsidRDefault="002C6644" w:rsidP="002C6644">
      <w:pPr>
        <w:autoSpaceDE w:val="0"/>
        <w:autoSpaceDN w:val="0"/>
        <w:adjustRightInd w:val="0"/>
        <w:ind w:firstLine="709"/>
        <w:jc w:val="both"/>
        <w:outlineLvl w:val="2"/>
      </w:pPr>
      <w:r w:rsidRPr="002C6644">
        <w:t>2.2. Основными целями Программы профилактики являются:</w:t>
      </w:r>
    </w:p>
    <w:p w:rsidR="002C6644" w:rsidRPr="002C6644" w:rsidRDefault="002C6644" w:rsidP="002C6644">
      <w:pPr>
        <w:tabs>
          <w:tab w:val="left" w:pos="993"/>
        </w:tabs>
        <w:ind w:firstLine="567"/>
        <w:jc w:val="both"/>
      </w:pPr>
      <w:r w:rsidRPr="002C6644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C6644" w:rsidRPr="002C6644" w:rsidRDefault="002C6644" w:rsidP="002C6644">
      <w:pPr>
        <w:tabs>
          <w:tab w:val="left" w:pos="993"/>
        </w:tabs>
        <w:ind w:firstLine="567"/>
        <w:jc w:val="both"/>
      </w:pPr>
      <w:r w:rsidRPr="002C6644"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6644" w:rsidRPr="002C6644" w:rsidRDefault="002C6644" w:rsidP="002C6644">
      <w:pPr>
        <w:tabs>
          <w:tab w:val="left" w:pos="993"/>
        </w:tabs>
        <w:ind w:firstLine="567"/>
        <w:jc w:val="both"/>
      </w:pPr>
      <w:r w:rsidRPr="002C6644">
        <w:t>- снижение административной нагрузки на контролируемые лица;</w:t>
      </w:r>
    </w:p>
    <w:p w:rsidR="002C6644" w:rsidRPr="002C6644" w:rsidRDefault="002C6644" w:rsidP="002C6644">
      <w:pPr>
        <w:tabs>
          <w:tab w:val="left" w:pos="993"/>
        </w:tabs>
        <w:ind w:firstLine="567"/>
        <w:jc w:val="both"/>
      </w:pPr>
      <w:r w:rsidRPr="002C6644">
        <w:t>- создание мотивации к добросовестному поведению контролируемых лиц;</w:t>
      </w:r>
    </w:p>
    <w:p w:rsidR="002C6644" w:rsidRPr="002C6644" w:rsidRDefault="002C6644" w:rsidP="002C6644">
      <w:pPr>
        <w:tabs>
          <w:tab w:val="left" w:pos="993"/>
        </w:tabs>
        <w:ind w:firstLine="567"/>
        <w:jc w:val="both"/>
      </w:pPr>
      <w:r w:rsidRPr="002C6644">
        <w:t>- снижение уровня ущерба охраняемым законом ценностям.</w:t>
      </w:r>
    </w:p>
    <w:p w:rsidR="002C6644" w:rsidRPr="002C6644" w:rsidRDefault="002C6644" w:rsidP="002C6644">
      <w:pPr>
        <w:tabs>
          <w:tab w:val="left" w:pos="993"/>
        </w:tabs>
        <w:ind w:firstLine="567"/>
        <w:jc w:val="both"/>
      </w:pPr>
      <w:r w:rsidRPr="002C6644">
        <w:t>2.3. Задачами Программы профилактики являются:</w:t>
      </w:r>
    </w:p>
    <w:p w:rsidR="002C6644" w:rsidRPr="002C6644" w:rsidRDefault="002C6644" w:rsidP="002C6644">
      <w:pPr>
        <w:tabs>
          <w:tab w:val="left" w:pos="993"/>
        </w:tabs>
        <w:ind w:firstLine="567"/>
        <w:jc w:val="both"/>
      </w:pPr>
      <w:r w:rsidRPr="002C6644"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2C6644" w:rsidRPr="002C6644" w:rsidRDefault="002C6644" w:rsidP="002C6644">
      <w:pPr>
        <w:tabs>
          <w:tab w:val="left" w:pos="993"/>
        </w:tabs>
        <w:ind w:firstLine="567"/>
        <w:jc w:val="both"/>
      </w:pPr>
      <w:r w:rsidRPr="002C6644"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2C6644" w:rsidRPr="002C6644" w:rsidRDefault="002C6644" w:rsidP="002C6644">
      <w:pPr>
        <w:tabs>
          <w:tab w:val="left" w:pos="993"/>
        </w:tabs>
        <w:ind w:firstLine="567"/>
        <w:jc w:val="both"/>
      </w:pPr>
      <w:r w:rsidRPr="002C6644">
        <w:t>- повышение правосознания и правовой культуры юридических лиц, индивидуальных предпринимателей и граждан.</w:t>
      </w:r>
    </w:p>
    <w:p w:rsidR="002C6644" w:rsidRPr="002C6644" w:rsidRDefault="002C6644" w:rsidP="002C6644">
      <w:pPr>
        <w:autoSpaceDE w:val="0"/>
        <w:autoSpaceDN w:val="0"/>
        <w:adjustRightInd w:val="0"/>
        <w:spacing w:before="220"/>
        <w:ind w:firstLine="567"/>
        <w:contextualSpacing/>
        <w:jc w:val="both"/>
      </w:pPr>
      <w:r w:rsidRPr="002C6644">
        <w:t xml:space="preserve">- оценка возможной угрозы причинения, либо причинения вреда жизни, здоровью граждан, выработка и реализация профилактических мер, способствующих </w:t>
      </w:r>
      <w:r w:rsidR="00FF3843">
        <w:t xml:space="preserve">                           </w:t>
      </w:r>
      <w:r w:rsidRPr="002C6644">
        <w:t>ее снижению;</w:t>
      </w:r>
    </w:p>
    <w:p w:rsidR="002C6644" w:rsidRPr="002C6644" w:rsidRDefault="002C6644" w:rsidP="002C6644">
      <w:pPr>
        <w:autoSpaceDE w:val="0"/>
        <w:autoSpaceDN w:val="0"/>
        <w:adjustRightInd w:val="0"/>
        <w:spacing w:before="220"/>
        <w:ind w:firstLine="567"/>
        <w:contextualSpacing/>
        <w:jc w:val="both"/>
      </w:pPr>
      <w:r w:rsidRPr="002C6644"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2C6644" w:rsidRPr="002C6644" w:rsidRDefault="002C6644" w:rsidP="002C6644">
      <w:pPr>
        <w:autoSpaceDE w:val="0"/>
        <w:autoSpaceDN w:val="0"/>
        <w:adjustRightInd w:val="0"/>
        <w:spacing w:before="220"/>
        <w:ind w:firstLine="567"/>
        <w:contextualSpacing/>
        <w:jc w:val="both"/>
      </w:pPr>
      <w:r w:rsidRPr="002C6644">
        <w:t>- оценка состояния подконтрольной среды и установление зависимости видов</w:t>
      </w:r>
      <w:r w:rsidR="00FF3843">
        <w:t xml:space="preserve">               </w:t>
      </w:r>
      <w:r w:rsidRPr="002C6644">
        <w:t xml:space="preserve"> и интенсивности профилактических мероприятий от присвоенных контролируемым лицам уровней риска. </w:t>
      </w:r>
    </w:p>
    <w:p w:rsidR="002C6644" w:rsidRPr="002C6644" w:rsidRDefault="002C6644" w:rsidP="002C6644">
      <w:pPr>
        <w:autoSpaceDE w:val="0"/>
        <w:autoSpaceDN w:val="0"/>
        <w:adjustRightInd w:val="0"/>
        <w:spacing w:before="220"/>
        <w:contextualSpacing/>
        <w:jc w:val="both"/>
        <w:sectPr w:rsidR="002C6644" w:rsidRPr="002C66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2C6644" w:rsidRPr="002C6644" w:rsidRDefault="002C6644" w:rsidP="002C6644">
      <w:pPr>
        <w:tabs>
          <w:tab w:val="left" w:pos="993"/>
        </w:tabs>
        <w:jc w:val="both"/>
      </w:pPr>
    </w:p>
    <w:p w:rsidR="002C6644" w:rsidRPr="002C6644" w:rsidRDefault="002C6644" w:rsidP="002C664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C6644">
        <w:rPr>
          <w:b/>
        </w:rPr>
        <w:t>Раздел 3. Перечень профилактических мероприятий, сроки (периодичность) их проведения</w:t>
      </w:r>
    </w:p>
    <w:p w:rsidR="002C6644" w:rsidRPr="002C6644" w:rsidRDefault="002C6644" w:rsidP="002C664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8047"/>
        <w:gridCol w:w="3402"/>
      </w:tblGrid>
      <w:tr w:rsidR="002C6644" w:rsidRPr="002C6644" w:rsidTr="000B47A3">
        <w:tc>
          <w:tcPr>
            <w:tcW w:w="567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2"/>
              </w:rPr>
            </w:pPr>
            <w:r w:rsidRPr="002C6644">
              <w:rPr>
                <w:rFonts w:eastAsia="Calibri"/>
                <w:iCs/>
                <w:sz w:val="20"/>
                <w:szCs w:val="22"/>
              </w:rPr>
              <w:t xml:space="preserve">№ п/п </w:t>
            </w:r>
          </w:p>
        </w:tc>
        <w:tc>
          <w:tcPr>
            <w:tcW w:w="2584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2"/>
              </w:rPr>
            </w:pPr>
            <w:r w:rsidRPr="002C6644">
              <w:rPr>
                <w:rFonts w:eastAsia="Calibri"/>
                <w:iCs/>
                <w:sz w:val="20"/>
                <w:szCs w:val="22"/>
              </w:rPr>
              <w:t xml:space="preserve">Наименование мероприятия </w:t>
            </w:r>
          </w:p>
        </w:tc>
        <w:tc>
          <w:tcPr>
            <w:tcW w:w="8047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2"/>
              </w:rPr>
            </w:pPr>
            <w:r w:rsidRPr="002C6644">
              <w:rPr>
                <w:rFonts w:eastAsia="Calibri"/>
                <w:iCs/>
                <w:sz w:val="20"/>
                <w:szCs w:val="22"/>
              </w:rPr>
              <w:t xml:space="preserve">Срок исполнения </w:t>
            </w:r>
          </w:p>
        </w:tc>
        <w:tc>
          <w:tcPr>
            <w:tcW w:w="3402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2"/>
              </w:rPr>
            </w:pPr>
            <w:r w:rsidRPr="002C6644">
              <w:rPr>
                <w:rFonts w:eastAsia="Calibri"/>
                <w:iCs/>
                <w:sz w:val="20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2C6644" w:rsidRPr="002C6644" w:rsidTr="000B47A3">
        <w:tc>
          <w:tcPr>
            <w:tcW w:w="567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iCs/>
                <w:sz w:val="22"/>
                <w:szCs w:val="22"/>
              </w:rPr>
              <w:t>Информирование</w:t>
            </w:r>
          </w:p>
        </w:tc>
        <w:tc>
          <w:tcPr>
            <w:tcW w:w="8047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iCs/>
                <w:sz w:val="22"/>
                <w:szCs w:val="22"/>
              </w:rPr>
              <w:t>Постоянно.</w:t>
            </w:r>
          </w:p>
          <w:p w:rsidR="002C6644" w:rsidRPr="002C6644" w:rsidRDefault="002C6644" w:rsidP="000B47A3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 xml:space="preserve">Посредством размещения сведений, предусмотренных </w:t>
            </w:r>
            <w:hyperlink r:id="rId13" w:history="1">
              <w:r w:rsidRPr="002C6644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2C6644">
              <w:rPr>
                <w:rFonts w:eastAsia="Calibri"/>
                <w:sz w:val="22"/>
                <w:szCs w:val="22"/>
              </w:rPr>
              <w:t xml:space="preserve"> Закона № 248-ФЗ на официальном сайте в сети «Интернет»: </w:t>
            </w:r>
            <w:r w:rsidR="006E6E9B" w:rsidRPr="006E6E9B">
              <w:rPr>
                <w:rFonts w:eastAsia="Calibri"/>
                <w:sz w:val="20"/>
                <w:szCs w:val="20"/>
              </w:rPr>
              <w:t xml:space="preserve">https://toksovo-lo.ru </w:t>
            </w:r>
            <w:r w:rsidRPr="002C6644">
              <w:rPr>
                <w:rFonts w:eastAsia="Calibri"/>
                <w:i/>
                <w:sz w:val="22"/>
                <w:szCs w:val="22"/>
              </w:rPr>
              <w:t>(далее – официальный сайт),</w:t>
            </w:r>
            <w:r w:rsidRPr="002C6644">
              <w:rPr>
                <w:rFonts w:eastAsia="Calibri"/>
                <w:sz w:val="22"/>
                <w:szCs w:val="22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2C6644" w:rsidRPr="002C6644" w:rsidRDefault="002C6644" w:rsidP="000B47A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2C6644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 xml:space="preserve">Назначается муниципальным правовым актом администрации </w:t>
            </w:r>
            <w:r w:rsidR="0067383B" w:rsidRPr="000B47A3">
              <w:rPr>
                <w:rFonts w:eastAsia="Calibri"/>
                <w:sz w:val="22"/>
                <w:szCs w:val="22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2C6644" w:rsidRPr="002C6644" w:rsidTr="000B47A3">
        <w:tc>
          <w:tcPr>
            <w:tcW w:w="567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iCs/>
                <w:sz w:val="22"/>
                <w:szCs w:val="22"/>
              </w:rPr>
              <w:t>2.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8047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iCs/>
                <w:sz w:val="22"/>
                <w:szCs w:val="22"/>
              </w:rPr>
              <w:t>Постоянно, по запросу.</w:t>
            </w:r>
          </w:p>
          <w:p w:rsidR="002C6644" w:rsidRPr="002C6644" w:rsidRDefault="002C6644" w:rsidP="000B47A3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2C6644" w:rsidRPr="002C6644" w:rsidRDefault="002C6644" w:rsidP="000B47A3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Консультирование осуществляется в устной форме по следующим вопросам:</w:t>
            </w:r>
          </w:p>
          <w:p w:rsidR="002C6644" w:rsidRPr="002C6644" w:rsidRDefault="002C6644" w:rsidP="000B47A3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1) порядок проведения контрольных мероприятий;</w:t>
            </w:r>
          </w:p>
          <w:p w:rsidR="002C6644" w:rsidRPr="002C6644" w:rsidRDefault="002C6644" w:rsidP="000B47A3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2) периодичность проведения контрольных мероприятий;</w:t>
            </w:r>
          </w:p>
          <w:p w:rsidR="002C6644" w:rsidRPr="002C6644" w:rsidRDefault="002C6644" w:rsidP="000B47A3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3) порядок принятия решений по итогам контрольных мероприятий;</w:t>
            </w:r>
          </w:p>
          <w:p w:rsidR="002C6644" w:rsidRPr="002C6644" w:rsidRDefault="002C6644" w:rsidP="000B47A3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4) порядок обжалования решений Контрольного органа</w:t>
            </w:r>
          </w:p>
          <w:p w:rsidR="002C6644" w:rsidRPr="002C6644" w:rsidRDefault="002C6644" w:rsidP="000B47A3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Время консультирования не должно превышать 10 минут.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 xml:space="preserve">Консультирование в письменной форме осуществляется инспектором </w:t>
            </w:r>
            <w:r w:rsidR="00DE1ACD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2C6644">
              <w:rPr>
                <w:rFonts w:eastAsia="Calibri"/>
                <w:sz w:val="22"/>
                <w:szCs w:val="22"/>
              </w:rPr>
              <w:t>в следующих случаях: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 xml:space="preserve">1) контролируемым лицом представлен письменный запрос </w:t>
            </w:r>
            <w:r w:rsidR="0067383B" w:rsidRPr="000B47A3">
              <w:rPr>
                <w:rFonts w:eastAsia="Calibri"/>
                <w:sz w:val="22"/>
                <w:szCs w:val="22"/>
              </w:rPr>
              <w:t xml:space="preserve">                                </w:t>
            </w:r>
            <w:r w:rsidRPr="002C6644">
              <w:rPr>
                <w:rFonts w:eastAsia="Calibri"/>
                <w:sz w:val="22"/>
                <w:szCs w:val="22"/>
              </w:rPr>
              <w:lastRenderedPageBreak/>
              <w:t>о предоставлении письменного ответа по вопросам консультирования;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2) за время консультирования предоставить ответ на поставленные вопросы невозможно;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2C6644">
              <w:rPr>
                <w:rFonts w:eastAsia="Calibri"/>
                <w:bCs/>
                <w:sz w:val="22"/>
                <w:szCs w:val="22"/>
              </w:rPr>
              <w:t>в сфере благоустройства,</w:t>
            </w:r>
            <w:r w:rsidRPr="002C6644">
              <w:rPr>
                <w:rFonts w:eastAsia="Calibri"/>
                <w:sz w:val="22"/>
                <w:szCs w:val="22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Контрольный орган</w:t>
            </w:r>
            <w:r w:rsidRPr="002C6644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C6644">
              <w:rPr>
                <w:rFonts w:eastAsia="Calibri"/>
                <w:sz w:val="22"/>
                <w:szCs w:val="22"/>
              </w:rPr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397F97">
              <w:rPr>
                <w:rFonts w:eastAsia="Calibri"/>
                <w:sz w:val="22"/>
                <w:szCs w:val="22"/>
              </w:rPr>
              <w:t>МО «Токсовское городское поселение»</w:t>
            </w:r>
            <w:r w:rsidRPr="002C6644">
              <w:rPr>
                <w:rFonts w:eastAsia="Calibri"/>
                <w:sz w:val="22"/>
                <w:szCs w:val="22"/>
              </w:rPr>
              <w:t xml:space="preserve"> Ленинградской области.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2C6644" w:rsidRPr="002C6644" w:rsidRDefault="002C6644" w:rsidP="000B47A3">
            <w:pPr>
              <w:ind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lastRenderedPageBreak/>
              <w:t xml:space="preserve">Назначается муниципальным правовым актом администрации </w:t>
            </w:r>
            <w:r w:rsidR="0067383B" w:rsidRPr="000B47A3">
              <w:rPr>
                <w:rFonts w:eastAsia="Calibri"/>
                <w:sz w:val="22"/>
                <w:szCs w:val="22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2C6644" w:rsidRPr="002C6644" w:rsidTr="000B47A3">
        <w:tc>
          <w:tcPr>
            <w:tcW w:w="567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iCs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8047" w:type="dxa"/>
            <w:shd w:val="clear" w:color="auto" w:fill="auto"/>
            <w:vAlign w:val="center"/>
          </w:tcPr>
          <w:p w:rsidR="002C6644" w:rsidRPr="002C6644" w:rsidRDefault="002C6644" w:rsidP="000B47A3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C6644">
              <w:rPr>
                <w:rFonts w:eastAsia="Calibri"/>
                <w:color w:val="000000"/>
                <w:sz w:val="22"/>
                <w:szCs w:val="22"/>
              </w:rPr>
              <w:t xml:space="preserve">Объявляется контрольным органом и направляется контролируемому лицу </w:t>
            </w:r>
            <w:r w:rsidR="0094107C">
              <w:rPr>
                <w:rFonts w:eastAsia="Calibri"/>
                <w:color w:val="000000"/>
                <w:sz w:val="22"/>
                <w:szCs w:val="22"/>
              </w:rPr>
              <w:t xml:space="preserve">                   </w:t>
            </w:r>
            <w:r w:rsidRPr="0094107C">
              <w:rPr>
                <w:rFonts w:eastAsia="Calibri"/>
                <w:color w:val="000000"/>
                <w:sz w:val="22"/>
                <w:szCs w:val="22"/>
              </w:rPr>
              <w:t>в случае наличия у</w:t>
            </w:r>
            <w:r w:rsidRPr="002C6644">
              <w:rPr>
                <w:rFonts w:eastAsia="Calibri"/>
                <w:color w:val="000000"/>
                <w:sz w:val="22"/>
                <w:szCs w:val="22"/>
              </w:rPr>
              <w:t xml:space="preserve">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C6644" w:rsidRPr="002C6644" w:rsidRDefault="002C6644" w:rsidP="000B47A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67383B" w:rsidRPr="000B47A3" w:rsidRDefault="002C6644" w:rsidP="000B47A3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67383B" w:rsidRPr="000B47A3">
              <w:rPr>
                <w:rFonts w:eastAsia="Calibri"/>
                <w:sz w:val="22"/>
                <w:szCs w:val="22"/>
              </w:rPr>
              <w:t xml:space="preserve">муниципального образования «Токсовское городское поселение» Всеволожского </w:t>
            </w:r>
            <w:r w:rsidR="0067383B" w:rsidRPr="000B47A3">
              <w:rPr>
                <w:rFonts w:eastAsia="Calibri"/>
                <w:sz w:val="22"/>
                <w:szCs w:val="22"/>
              </w:rPr>
              <w:lastRenderedPageBreak/>
              <w:t>муниципального района Ленинградской области</w:t>
            </w:r>
          </w:p>
          <w:p w:rsidR="002C6644" w:rsidRPr="002C6644" w:rsidRDefault="002C6644" w:rsidP="000B47A3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2C6644" w:rsidRPr="002C6644" w:rsidRDefault="0067383B" w:rsidP="000B47A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0B47A3">
              <w:rPr>
                <w:rFonts w:eastAsia="Calibri"/>
                <w:sz w:val="22"/>
                <w:szCs w:val="22"/>
              </w:rPr>
              <w:t xml:space="preserve">          </w:t>
            </w:r>
            <w:r w:rsidR="002C6644" w:rsidRPr="002C6644">
              <w:rPr>
                <w:rFonts w:eastAsia="Calibri"/>
                <w:sz w:val="22"/>
                <w:szCs w:val="22"/>
              </w:rPr>
              <w:t xml:space="preserve"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</w:t>
            </w:r>
            <w:r w:rsidRPr="000B47A3">
              <w:rPr>
                <w:rFonts w:eastAsia="Calibri"/>
                <w:sz w:val="22"/>
                <w:szCs w:val="22"/>
              </w:rPr>
              <w:t xml:space="preserve">                                   </w:t>
            </w:r>
            <w:r w:rsidR="002C6644" w:rsidRPr="002C6644">
              <w:rPr>
                <w:rFonts w:eastAsia="Calibri"/>
                <w:sz w:val="22"/>
                <w:szCs w:val="22"/>
              </w:rPr>
              <w:t>им предостережения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lastRenderedPageBreak/>
              <w:t xml:space="preserve">Назначается муниципальным правовым актом администрации </w:t>
            </w:r>
            <w:r w:rsidR="0067383B" w:rsidRPr="000B47A3">
              <w:rPr>
                <w:rFonts w:eastAsia="Calibri"/>
                <w:sz w:val="22"/>
                <w:szCs w:val="22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:rsidR="002C6644" w:rsidRPr="002C6644" w:rsidRDefault="002C6644" w:rsidP="002C6644">
      <w:pPr>
        <w:tabs>
          <w:tab w:val="left" w:pos="993"/>
        </w:tabs>
        <w:ind w:firstLine="567"/>
        <w:jc w:val="both"/>
      </w:pPr>
    </w:p>
    <w:p w:rsidR="002C6644" w:rsidRPr="002C6644" w:rsidRDefault="002C6644" w:rsidP="002C6644">
      <w:pPr>
        <w:spacing w:after="200" w:line="276" w:lineRule="auto"/>
        <w:sectPr w:rsidR="002C6644" w:rsidRPr="002C6644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2C6644" w:rsidRPr="002C6644" w:rsidRDefault="002C6644" w:rsidP="002C6644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2C6644" w:rsidRPr="002C6644" w:rsidRDefault="002C6644" w:rsidP="002C664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2C6644">
        <w:rPr>
          <w:b/>
          <w:bCs/>
          <w:szCs w:val="28"/>
        </w:rPr>
        <w:t>Раздел 4. Показатели результативности и эффективности программы профилактики</w:t>
      </w:r>
    </w:p>
    <w:p w:rsidR="002C6644" w:rsidRPr="002C6644" w:rsidRDefault="002C6644" w:rsidP="002C664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2C6644" w:rsidRPr="002C6644" w:rsidRDefault="002C6644" w:rsidP="002C6644">
      <w:pPr>
        <w:ind w:firstLine="709"/>
        <w:jc w:val="both"/>
        <w:rPr>
          <w:color w:val="000000"/>
        </w:rPr>
      </w:pPr>
      <w:r w:rsidRPr="002C6644">
        <w:rPr>
          <w:color w:val="000000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2C6644" w:rsidRPr="002C6644" w:rsidRDefault="002C6644" w:rsidP="002C6644">
      <w:pPr>
        <w:ind w:firstLine="709"/>
        <w:jc w:val="both"/>
        <w:rPr>
          <w:color w:val="000000"/>
        </w:rPr>
      </w:pPr>
      <w:r w:rsidRPr="002C6644">
        <w:rPr>
          <w:color w:val="000000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2C6644" w:rsidRPr="002C6644" w:rsidRDefault="002C6644" w:rsidP="002C6644">
      <w:pPr>
        <w:ind w:firstLine="709"/>
        <w:jc w:val="both"/>
        <w:rPr>
          <w:color w:val="000000"/>
        </w:rPr>
      </w:pPr>
      <w:r w:rsidRPr="002C6644">
        <w:rPr>
          <w:color w:val="000000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2C6644" w:rsidRPr="002C6644" w:rsidRDefault="002C6644" w:rsidP="002C6644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2C6644" w:rsidRPr="002C6644" w:rsidTr="000B47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6644">
              <w:rPr>
                <w:sz w:val="20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6644">
              <w:rPr>
                <w:sz w:val="20"/>
              </w:rPr>
              <w:t>Наименование показателя</w:t>
            </w:r>
          </w:p>
        </w:tc>
      </w:tr>
      <w:tr w:rsidR="002C6644" w:rsidRPr="002C6644" w:rsidTr="000B47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</w:pPr>
            <w:r w:rsidRPr="002C6644"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both"/>
            </w:pPr>
            <w:r w:rsidRPr="002C664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2C6644" w:rsidRPr="002C6644" w:rsidTr="000B47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</w:pPr>
            <w:r w:rsidRPr="002C6644"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both"/>
            </w:pPr>
            <w:r w:rsidRPr="002C6644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2C6644" w:rsidRPr="002C6644" w:rsidTr="000B47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</w:pPr>
            <w:r w:rsidRPr="002C6644"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both"/>
            </w:pPr>
            <w:r w:rsidRPr="002C6644">
              <w:t xml:space="preserve">Обоснованность направления подконтрольным субъектам предостережений </w:t>
            </w:r>
            <w:r w:rsidR="0094107C">
              <w:t xml:space="preserve">                  </w:t>
            </w:r>
            <w:r w:rsidRPr="002C6644">
              <w:t>о недопустимости нарушения обязательных требований</w:t>
            </w:r>
          </w:p>
        </w:tc>
      </w:tr>
    </w:tbl>
    <w:p w:rsidR="002C6644" w:rsidRPr="002C6644" w:rsidRDefault="002C6644" w:rsidP="002C6644">
      <w:pPr>
        <w:tabs>
          <w:tab w:val="left" w:pos="993"/>
        </w:tabs>
        <w:jc w:val="both"/>
        <w:rPr>
          <w:spacing w:val="-2"/>
        </w:rPr>
      </w:pPr>
    </w:p>
    <w:p w:rsidR="002C6644" w:rsidRPr="002C6644" w:rsidRDefault="002C6644" w:rsidP="002C6644">
      <w:pPr>
        <w:autoSpaceDE w:val="0"/>
        <w:autoSpaceDN w:val="0"/>
        <w:adjustRightInd w:val="0"/>
      </w:pPr>
      <w:r w:rsidRPr="002C6644"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C6644" w:rsidRPr="002C6644" w:rsidTr="000B47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6644">
              <w:rPr>
                <w:sz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6644">
              <w:rPr>
                <w:sz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6644">
              <w:rPr>
                <w:sz w:val="20"/>
              </w:rPr>
              <w:t>Величина</w:t>
            </w:r>
          </w:p>
        </w:tc>
      </w:tr>
      <w:tr w:rsidR="002C6644" w:rsidRPr="002C6644" w:rsidTr="000B47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</w:pPr>
            <w:r w:rsidRPr="002C664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both"/>
            </w:pPr>
            <w:r w:rsidRPr="002C664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</w:pPr>
            <w:r w:rsidRPr="002C6644">
              <w:t>100 %</w:t>
            </w:r>
          </w:p>
        </w:tc>
      </w:tr>
      <w:tr w:rsidR="002C6644" w:rsidRPr="002C6644" w:rsidTr="000B47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</w:pPr>
            <w:r w:rsidRPr="002C664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both"/>
            </w:pPr>
            <w:r w:rsidRPr="002C6644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</w:pPr>
            <w:r w:rsidRPr="002C6644">
              <w:t>100 % от числа обратившихся</w:t>
            </w:r>
          </w:p>
        </w:tc>
      </w:tr>
      <w:tr w:rsidR="002C6644" w:rsidRPr="002C6644" w:rsidTr="000B47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</w:pPr>
            <w:r w:rsidRPr="002C6644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both"/>
            </w:pPr>
            <w:r w:rsidRPr="002C6644"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4" w:rsidRPr="002C6644" w:rsidRDefault="002C6644" w:rsidP="002C6644">
            <w:pPr>
              <w:autoSpaceDE w:val="0"/>
              <w:autoSpaceDN w:val="0"/>
              <w:adjustRightInd w:val="0"/>
              <w:jc w:val="center"/>
            </w:pPr>
            <w:r w:rsidRPr="002C6644">
              <w:t>100 %</w:t>
            </w:r>
          </w:p>
        </w:tc>
      </w:tr>
    </w:tbl>
    <w:p w:rsidR="002C6644" w:rsidRPr="002C6644" w:rsidRDefault="002C6644" w:rsidP="002C6644">
      <w:pPr>
        <w:autoSpaceDE w:val="0"/>
        <w:autoSpaceDN w:val="0"/>
        <w:adjustRightInd w:val="0"/>
        <w:rPr>
          <w:highlight w:val="yellow"/>
        </w:rPr>
      </w:pPr>
    </w:p>
    <w:p w:rsidR="002C6644" w:rsidRPr="002C6644" w:rsidRDefault="002C6644" w:rsidP="002C6644">
      <w:pPr>
        <w:autoSpaceDE w:val="0"/>
        <w:autoSpaceDN w:val="0"/>
        <w:adjustRightInd w:val="0"/>
      </w:pPr>
    </w:p>
    <w:p w:rsidR="002C6644" w:rsidRPr="002C6644" w:rsidRDefault="002C6644" w:rsidP="002C6644">
      <w:pPr>
        <w:autoSpaceDE w:val="0"/>
        <w:autoSpaceDN w:val="0"/>
        <w:adjustRightInd w:val="0"/>
      </w:pPr>
      <w:r w:rsidRPr="002C6644"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2C6644" w:rsidRPr="002C6644" w:rsidTr="000B47A3">
        <w:tc>
          <w:tcPr>
            <w:tcW w:w="1886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 xml:space="preserve">Показатель </w:t>
            </w:r>
          </w:p>
        </w:tc>
        <w:tc>
          <w:tcPr>
            <w:tcW w:w="1886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60% и менее</w:t>
            </w:r>
          </w:p>
        </w:tc>
        <w:tc>
          <w:tcPr>
            <w:tcW w:w="1886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61-85%</w:t>
            </w:r>
          </w:p>
        </w:tc>
        <w:tc>
          <w:tcPr>
            <w:tcW w:w="1680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86-99%</w:t>
            </w:r>
          </w:p>
        </w:tc>
        <w:tc>
          <w:tcPr>
            <w:tcW w:w="2092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100% и более</w:t>
            </w:r>
          </w:p>
        </w:tc>
      </w:tr>
      <w:tr w:rsidR="002C6644" w:rsidRPr="002C6644" w:rsidTr="000B47A3">
        <w:tc>
          <w:tcPr>
            <w:tcW w:w="1886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Эффект</w:t>
            </w:r>
          </w:p>
        </w:tc>
        <w:tc>
          <w:tcPr>
            <w:tcW w:w="1886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Низкий</w:t>
            </w:r>
          </w:p>
        </w:tc>
        <w:tc>
          <w:tcPr>
            <w:tcW w:w="1680" w:type="dxa"/>
            <w:shd w:val="clear" w:color="auto" w:fill="auto"/>
          </w:tcPr>
          <w:p w:rsidR="002C6644" w:rsidRPr="002C6644" w:rsidRDefault="002C6644" w:rsidP="000B47A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Плановый</w:t>
            </w:r>
          </w:p>
        </w:tc>
        <w:tc>
          <w:tcPr>
            <w:tcW w:w="2092" w:type="dxa"/>
            <w:shd w:val="clear" w:color="auto" w:fill="auto"/>
          </w:tcPr>
          <w:p w:rsidR="002C6644" w:rsidRPr="002C6644" w:rsidRDefault="002C6644" w:rsidP="000B47A3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2C6644">
              <w:rPr>
                <w:rFonts w:eastAsia="Calibri"/>
                <w:sz w:val="22"/>
                <w:szCs w:val="22"/>
              </w:rPr>
              <w:t>Эффективный</w:t>
            </w:r>
          </w:p>
        </w:tc>
      </w:tr>
    </w:tbl>
    <w:p w:rsidR="002C6644" w:rsidRDefault="002C6644" w:rsidP="00843F7A">
      <w:pPr>
        <w:rPr>
          <w:color w:val="000000"/>
          <w:spacing w:val="6"/>
          <w:sz w:val="28"/>
          <w:szCs w:val="28"/>
        </w:rPr>
      </w:pPr>
    </w:p>
    <w:sectPr w:rsidR="002C6644" w:rsidSect="0033273F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9B" w:rsidRDefault="002F519B">
      <w:r>
        <w:separator/>
      </w:r>
    </w:p>
  </w:endnote>
  <w:endnote w:type="continuationSeparator" w:id="1">
    <w:p w:rsidR="002F519B" w:rsidRDefault="002F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9B" w:rsidRDefault="002F519B">
      <w:r>
        <w:separator/>
      </w:r>
    </w:p>
  </w:footnote>
  <w:footnote w:type="continuationSeparator" w:id="1">
    <w:p w:rsidR="002F519B" w:rsidRDefault="002F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3" w:rsidRDefault="000B47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80A5720"/>
    <w:multiLevelType w:val="hybridMultilevel"/>
    <w:tmpl w:val="223A7986"/>
    <w:lvl w:ilvl="0" w:tplc="7C1220A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BC5"/>
    <w:rsid w:val="00000884"/>
    <w:rsid w:val="000049FE"/>
    <w:rsid w:val="0000532B"/>
    <w:rsid w:val="00005BF1"/>
    <w:rsid w:val="00007FAA"/>
    <w:rsid w:val="00013942"/>
    <w:rsid w:val="000143BE"/>
    <w:rsid w:val="00021328"/>
    <w:rsid w:val="00022B0A"/>
    <w:rsid w:val="00022B78"/>
    <w:rsid w:val="00025FAD"/>
    <w:rsid w:val="000300FD"/>
    <w:rsid w:val="000307F1"/>
    <w:rsid w:val="000360CB"/>
    <w:rsid w:val="00037FDE"/>
    <w:rsid w:val="0004437B"/>
    <w:rsid w:val="000472AF"/>
    <w:rsid w:val="0005533D"/>
    <w:rsid w:val="000633ED"/>
    <w:rsid w:val="00064B1A"/>
    <w:rsid w:val="00065B50"/>
    <w:rsid w:val="0007433E"/>
    <w:rsid w:val="00074F7A"/>
    <w:rsid w:val="00090AD9"/>
    <w:rsid w:val="000973C4"/>
    <w:rsid w:val="000A0AD5"/>
    <w:rsid w:val="000A2211"/>
    <w:rsid w:val="000A3EB5"/>
    <w:rsid w:val="000A5156"/>
    <w:rsid w:val="000A6FBE"/>
    <w:rsid w:val="000A79C9"/>
    <w:rsid w:val="000B1776"/>
    <w:rsid w:val="000B47A3"/>
    <w:rsid w:val="000B75EB"/>
    <w:rsid w:val="000C1C20"/>
    <w:rsid w:val="000C50E9"/>
    <w:rsid w:val="000C7BC8"/>
    <w:rsid w:val="000C7FEE"/>
    <w:rsid w:val="000D2CFB"/>
    <w:rsid w:val="000D7D1E"/>
    <w:rsid w:val="000E13B8"/>
    <w:rsid w:val="000E23AF"/>
    <w:rsid w:val="000E4F18"/>
    <w:rsid w:val="000E573B"/>
    <w:rsid w:val="000E5D2E"/>
    <w:rsid w:val="000F4B72"/>
    <w:rsid w:val="00102611"/>
    <w:rsid w:val="00102B0B"/>
    <w:rsid w:val="00122499"/>
    <w:rsid w:val="00134624"/>
    <w:rsid w:val="001401EB"/>
    <w:rsid w:val="0014646F"/>
    <w:rsid w:val="00150008"/>
    <w:rsid w:val="00156B29"/>
    <w:rsid w:val="001602E9"/>
    <w:rsid w:val="00160CDA"/>
    <w:rsid w:val="00162310"/>
    <w:rsid w:val="0016446F"/>
    <w:rsid w:val="00166372"/>
    <w:rsid w:val="001709CA"/>
    <w:rsid w:val="001718FC"/>
    <w:rsid w:val="00172183"/>
    <w:rsid w:val="00180BB7"/>
    <w:rsid w:val="00184E1B"/>
    <w:rsid w:val="001869C7"/>
    <w:rsid w:val="001979B1"/>
    <w:rsid w:val="001A1E4E"/>
    <w:rsid w:val="001A1ED9"/>
    <w:rsid w:val="001A32CD"/>
    <w:rsid w:val="001A417A"/>
    <w:rsid w:val="001A731B"/>
    <w:rsid w:val="001A7728"/>
    <w:rsid w:val="001B13DD"/>
    <w:rsid w:val="001B6386"/>
    <w:rsid w:val="001B74C9"/>
    <w:rsid w:val="001E0561"/>
    <w:rsid w:val="001E388E"/>
    <w:rsid w:val="001E5343"/>
    <w:rsid w:val="001F33F9"/>
    <w:rsid w:val="001F6824"/>
    <w:rsid w:val="00200474"/>
    <w:rsid w:val="00212D0C"/>
    <w:rsid w:val="00217EAD"/>
    <w:rsid w:val="00226773"/>
    <w:rsid w:val="002310F0"/>
    <w:rsid w:val="00235E1D"/>
    <w:rsid w:val="0024741B"/>
    <w:rsid w:val="0024782D"/>
    <w:rsid w:val="002504E2"/>
    <w:rsid w:val="0025085E"/>
    <w:rsid w:val="00253A7F"/>
    <w:rsid w:val="0025770A"/>
    <w:rsid w:val="00257AFF"/>
    <w:rsid w:val="002616AD"/>
    <w:rsid w:val="00262A3B"/>
    <w:rsid w:val="00262E04"/>
    <w:rsid w:val="0026330C"/>
    <w:rsid w:val="00264580"/>
    <w:rsid w:val="00264B30"/>
    <w:rsid w:val="002655A8"/>
    <w:rsid w:val="00271BE3"/>
    <w:rsid w:val="00273C06"/>
    <w:rsid w:val="00277726"/>
    <w:rsid w:val="00283C33"/>
    <w:rsid w:val="00290527"/>
    <w:rsid w:val="00293CC0"/>
    <w:rsid w:val="002A2353"/>
    <w:rsid w:val="002A48E2"/>
    <w:rsid w:val="002A6BD5"/>
    <w:rsid w:val="002A7744"/>
    <w:rsid w:val="002B3E2E"/>
    <w:rsid w:val="002B71B3"/>
    <w:rsid w:val="002C1FE1"/>
    <w:rsid w:val="002C564C"/>
    <w:rsid w:val="002C6644"/>
    <w:rsid w:val="002D025A"/>
    <w:rsid w:val="002D20FC"/>
    <w:rsid w:val="002D3876"/>
    <w:rsid w:val="002D5ACC"/>
    <w:rsid w:val="002D5B6D"/>
    <w:rsid w:val="002D70FA"/>
    <w:rsid w:val="002E203B"/>
    <w:rsid w:val="002E4444"/>
    <w:rsid w:val="002E6D41"/>
    <w:rsid w:val="002E7E9C"/>
    <w:rsid w:val="002F1948"/>
    <w:rsid w:val="002F519B"/>
    <w:rsid w:val="002F65A8"/>
    <w:rsid w:val="00300A74"/>
    <w:rsid w:val="003019FC"/>
    <w:rsid w:val="00301B9B"/>
    <w:rsid w:val="003066AB"/>
    <w:rsid w:val="00307BFF"/>
    <w:rsid w:val="00307E91"/>
    <w:rsid w:val="00314538"/>
    <w:rsid w:val="00316405"/>
    <w:rsid w:val="00320654"/>
    <w:rsid w:val="0032231B"/>
    <w:rsid w:val="0032244E"/>
    <w:rsid w:val="00323D19"/>
    <w:rsid w:val="003245C7"/>
    <w:rsid w:val="003258FF"/>
    <w:rsid w:val="00330463"/>
    <w:rsid w:val="0033273F"/>
    <w:rsid w:val="00332AC2"/>
    <w:rsid w:val="00342555"/>
    <w:rsid w:val="003441CA"/>
    <w:rsid w:val="003547EB"/>
    <w:rsid w:val="003551A4"/>
    <w:rsid w:val="00374990"/>
    <w:rsid w:val="00380487"/>
    <w:rsid w:val="003862B0"/>
    <w:rsid w:val="00386A66"/>
    <w:rsid w:val="00390D11"/>
    <w:rsid w:val="00393C1A"/>
    <w:rsid w:val="00397F97"/>
    <w:rsid w:val="003A30D5"/>
    <w:rsid w:val="003B3847"/>
    <w:rsid w:val="003B44DB"/>
    <w:rsid w:val="003C078C"/>
    <w:rsid w:val="003C2972"/>
    <w:rsid w:val="003C2F0B"/>
    <w:rsid w:val="003D3420"/>
    <w:rsid w:val="003E39B9"/>
    <w:rsid w:val="003E6DE7"/>
    <w:rsid w:val="003E7534"/>
    <w:rsid w:val="003F11D6"/>
    <w:rsid w:val="00400147"/>
    <w:rsid w:val="0040026C"/>
    <w:rsid w:val="00400EA0"/>
    <w:rsid w:val="00405129"/>
    <w:rsid w:val="00415C9F"/>
    <w:rsid w:val="00427DB7"/>
    <w:rsid w:val="004304D0"/>
    <w:rsid w:val="00431E2A"/>
    <w:rsid w:val="00434AC4"/>
    <w:rsid w:val="004361D8"/>
    <w:rsid w:val="00441D8C"/>
    <w:rsid w:val="00444FF5"/>
    <w:rsid w:val="00445F25"/>
    <w:rsid w:val="0044752C"/>
    <w:rsid w:val="00451E11"/>
    <w:rsid w:val="00452659"/>
    <w:rsid w:val="004535FF"/>
    <w:rsid w:val="004664ED"/>
    <w:rsid w:val="004708F9"/>
    <w:rsid w:val="00470E35"/>
    <w:rsid w:val="00473FA9"/>
    <w:rsid w:val="004741D0"/>
    <w:rsid w:val="00474DDA"/>
    <w:rsid w:val="00477A9C"/>
    <w:rsid w:val="00481895"/>
    <w:rsid w:val="004837F2"/>
    <w:rsid w:val="00487C5F"/>
    <w:rsid w:val="00487F5D"/>
    <w:rsid w:val="00490581"/>
    <w:rsid w:val="004940B9"/>
    <w:rsid w:val="00494A76"/>
    <w:rsid w:val="00494E5B"/>
    <w:rsid w:val="004A1BED"/>
    <w:rsid w:val="004A2E5B"/>
    <w:rsid w:val="004A3862"/>
    <w:rsid w:val="004B0739"/>
    <w:rsid w:val="004B1999"/>
    <w:rsid w:val="004B633B"/>
    <w:rsid w:val="004D173A"/>
    <w:rsid w:val="004D54F6"/>
    <w:rsid w:val="004D5BC5"/>
    <w:rsid w:val="004D6EA8"/>
    <w:rsid w:val="004E03AC"/>
    <w:rsid w:val="004E55F0"/>
    <w:rsid w:val="004E57A4"/>
    <w:rsid w:val="004E75EE"/>
    <w:rsid w:val="004F3341"/>
    <w:rsid w:val="005011C0"/>
    <w:rsid w:val="00504449"/>
    <w:rsid w:val="00504584"/>
    <w:rsid w:val="00515931"/>
    <w:rsid w:val="005165E1"/>
    <w:rsid w:val="0052228D"/>
    <w:rsid w:val="00525F4D"/>
    <w:rsid w:val="00526BE4"/>
    <w:rsid w:val="00530509"/>
    <w:rsid w:val="00535185"/>
    <w:rsid w:val="00540300"/>
    <w:rsid w:val="0054124C"/>
    <w:rsid w:val="00541C27"/>
    <w:rsid w:val="00542B0D"/>
    <w:rsid w:val="00546DE5"/>
    <w:rsid w:val="00551069"/>
    <w:rsid w:val="00555F3A"/>
    <w:rsid w:val="005577C7"/>
    <w:rsid w:val="00560879"/>
    <w:rsid w:val="00560C86"/>
    <w:rsid w:val="005648C5"/>
    <w:rsid w:val="005649CE"/>
    <w:rsid w:val="005655FE"/>
    <w:rsid w:val="00566BCE"/>
    <w:rsid w:val="005720A0"/>
    <w:rsid w:val="005745C1"/>
    <w:rsid w:val="00576E84"/>
    <w:rsid w:val="00577CF4"/>
    <w:rsid w:val="005836FB"/>
    <w:rsid w:val="00591835"/>
    <w:rsid w:val="00595764"/>
    <w:rsid w:val="0059790D"/>
    <w:rsid w:val="005A1DC7"/>
    <w:rsid w:val="005A1ED6"/>
    <w:rsid w:val="005C01D8"/>
    <w:rsid w:val="005C3DA0"/>
    <w:rsid w:val="005C4E63"/>
    <w:rsid w:val="005C6878"/>
    <w:rsid w:val="005D01EB"/>
    <w:rsid w:val="005D767A"/>
    <w:rsid w:val="005E33A0"/>
    <w:rsid w:val="005E3F07"/>
    <w:rsid w:val="005E5620"/>
    <w:rsid w:val="005F1CD2"/>
    <w:rsid w:val="005F7D50"/>
    <w:rsid w:val="0060687C"/>
    <w:rsid w:val="00620C28"/>
    <w:rsid w:val="00624A73"/>
    <w:rsid w:val="00626550"/>
    <w:rsid w:val="00626E32"/>
    <w:rsid w:val="006276B6"/>
    <w:rsid w:val="006277F6"/>
    <w:rsid w:val="0063277E"/>
    <w:rsid w:val="00636CDD"/>
    <w:rsid w:val="0064397C"/>
    <w:rsid w:val="0064717F"/>
    <w:rsid w:val="006475DF"/>
    <w:rsid w:val="00647CE4"/>
    <w:rsid w:val="00652E6D"/>
    <w:rsid w:val="006539E4"/>
    <w:rsid w:val="00662E7D"/>
    <w:rsid w:val="00664ED2"/>
    <w:rsid w:val="00672799"/>
    <w:rsid w:val="006727EB"/>
    <w:rsid w:val="00673210"/>
    <w:rsid w:val="0067383B"/>
    <w:rsid w:val="006743FA"/>
    <w:rsid w:val="00692888"/>
    <w:rsid w:val="006A0CB4"/>
    <w:rsid w:val="006A6051"/>
    <w:rsid w:val="006B15AA"/>
    <w:rsid w:val="006B1E83"/>
    <w:rsid w:val="006B2244"/>
    <w:rsid w:val="006B4FB2"/>
    <w:rsid w:val="006C306D"/>
    <w:rsid w:val="006C6B4D"/>
    <w:rsid w:val="006D0EED"/>
    <w:rsid w:val="006D43E7"/>
    <w:rsid w:val="006D48D4"/>
    <w:rsid w:val="006E2CC2"/>
    <w:rsid w:val="006E6E9B"/>
    <w:rsid w:val="006F0683"/>
    <w:rsid w:val="006F18E0"/>
    <w:rsid w:val="006F66FD"/>
    <w:rsid w:val="00702787"/>
    <w:rsid w:val="00703026"/>
    <w:rsid w:val="007045ED"/>
    <w:rsid w:val="00704788"/>
    <w:rsid w:val="00704BD8"/>
    <w:rsid w:val="007104A5"/>
    <w:rsid w:val="00710B93"/>
    <w:rsid w:val="007247E6"/>
    <w:rsid w:val="007261AF"/>
    <w:rsid w:val="00740AC2"/>
    <w:rsid w:val="00741CE8"/>
    <w:rsid w:val="00752227"/>
    <w:rsid w:val="007537D1"/>
    <w:rsid w:val="007549FF"/>
    <w:rsid w:val="007566E1"/>
    <w:rsid w:val="00764911"/>
    <w:rsid w:val="0076717E"/>
    <w:rsid w:val="00772558"/>
    <w:rsid w:val="0077382F"/>
    <w:rsid w:val="007744F6"/>
    <w:rsid w:val="007751C1"/>
    <w:rsid w:val="00783B25"/>
    <w:rsid w:val="00784778"/>
    <w:rsid w:val="007876CA"/>
    <w:rsid w:val="00797744"/>
    <w:rsid w:val="007A1D59"/>
    <w:rsid w:val="007A44FC"/>
    <w:rsid w:val="007B35E7"/>
    <w:rsid w:val="007B5088"/>
    <w:rsid w:val="007C0739"/>
    <w:rsid w:val="007C594E"/>
    <w:rsid w:val="007D3A93"/>
    <w:rsid w:val="007E01F9"/>
    <w:rsid w:val="007E05EA"/>
    <w:rsid w:val="007E2476"/>
    <w:rsid w:val="007E372A"/>
    <w:rsid w:val="007E6A42"/>
    <w:rsid w:val="007E6D17"/>
    <w:rsid w:val="007F5E82"/>
    <w:rsid w:val="00800382"/>
    <w:rsid w:val="0080460C"/>
    <w:rsid w:val="00807B14"/>
    <w:rsid w:val="0081218C"/>
    <w:rsid w:val="008142A1"/>
    <w:rsid w:val="00816BB7"/>
    <w:rsid w:val="0082277F"/>
    <w:rsid w:val="00840888"/>
    <w:rsid w:val="00841210"/>
    <w:rsid w:val="00841ADF"/>
    <w:rsid w:val="00842B50"/>
    <w:rsid w:val="00843F7A"/>
    <w:rsid w:val="00850AA7"/>
    <w:rsid w:val="008539A9"/>
    <w:rsid w:val="008564B0"/>
    <w:rsid w:val="0085773F"/>
    <w:rsid w:val="00857F7A"/>
    <w:rsid w:val="00860706"/>
    <w:rsid w:val="0086231F"/>
    <w:rsid w:val="008641A1"/>
    <w:rsid w:val="00883562"/>
    <w:rsid w:val="008920DE"/>
    <w:rsid w:val="00893BCF"/>
    <w:rsid w:val="008A0208"/>
    <w:rsid w:val="008A2741"/>
    <w:rsid w:val="008A2C4F"/>
    <w:rsid w:val="008A49AF"/>
    <w:rsid w:val="008B2E2D"/>
    <w:rsid w:val="008B54CD"/>
    <w:rsid w:val="008C2F3D"/>
    <w:rsid w:val="008C66E2"/>
    <w:rsid w:val="008D1C3C"/>
    <w:rsid w:val="008E0F1C"/>
    <w:rsid w:val="009000B5"/>
    <w:rsid w:val="00900A77"/>
    <w:rsid w:val="00904AA5"/>
    <w:rsid w:val="00907DDE"/>
    <w:rsid w:val="00917F4E"/>
    <w:rsid w:val="009211E5"/>
    <w:rsid w:val="00926E4F"/>
    <w:rsid w:val="0093290E"/>
    <w:rsid w:val="009372D5"/>
    <w:rsid w:val="0094070B"/>
    <w:rsid w:val="0094107C"/>
    <w:rsid w:val="00942C42"/>
    <w:rsid w:val="009434FE"/>
    <w:rsid w:val="009464C0"/>
    <w:rsid w:val="009521E5"/>
    <w:rsid w:val="009621D3"/>
    <w:rsid w:val="0096332D"/>
    <w:rsid w:val="00963567"/>
    <w:rsid w:val="00966313"/>
    <w:rsid w:val="00975932"/>
    <w:rsid w:val="009826DA"/>
    <w:rsid w:val="0099357D"/>
    <w:rsid w:val="009939B8"/>
    <w:rsid w:val="009A0AA4"/>
    <w:rsid w:val="009A0D27"/>
    <w:rsid w:val="009A1C8E"/>
    <w:rsid w:val="009A2423"/>
    <w:rsid w:val="009A7277"/>
    <w:rsid w:val="009A7FA5"/>
    <w:rsid w:val="009B1B87"/>
    <w:rsid w:val="009B58E7"/>
    <w:rsid w:val="009B6C10"/>
    <w:rsid w:val="009B6C9E"/>
    <w:rsid w:val="009C56F7"/>
    <w:rsid w:val="009C7FB3"/>
    <w:rsid w:val="009D11F2"/>
    <w:rsid w:val="009D3D16"/>
    <w:rsid w:val="009D5DB3"/>
    <w:rsid w:val="009E2849"/>
    <w:rsid w:val="009E3B11"/>
    <w:rsid w:val="009F6569"/>
    <w:rsid w:val="009F6D2B"/>
    <w:rsid w:val="00A10362"/>
    <w:rsid w:val="00A10C23"/>
    <w:rsid w:val="00A11F21"/>
    <w:rsid w:val="00A15F66"/>
    <w:rsid w:val="00A206EF"/>
    <w:rsid w:val="00A24C92"/>
    <w:rsid w:val="00A31DC5"/>
    <w:rsid w:val="00A34450"/>
    <w:rsid w:val="00A36451"/>
    <w:rsid w:val="00A4035A"/>
    <w:rsid w:val="00A4230B"/>
    <w:rsid w:val="00A42890"/>
    <w:rsid w:val="00A46140"/>
    <w:rsid w:val="00A461CF"/>
    <w:rsid w:val="00A52CAC"/>
    <w:rsid w:val="00A535A7"/>
    <w:rsid w:val="00A60526"/>
    <w:rsid w:val="00A62F8A"/>
    <w:rsid w:val="00A63051"/>
    <w:rsid w:val="00A63830"/>
    <w:rsid w:val="00A65666"/>
    <w:rsid w:val="00A714D8"/>
    <w:rsid w:val="00A71A1D"/>
    <w:rsid w:val="00A73B67"/>
    <w:rsid w:val="00A75E9C"/>
    <w:rsid w:val="00A77D95"/>
    <w:rsid w:val="00A8019F"/>
    <w:rsid w:val="00A81B15"/>
    <w:rsid w:val="00A829D9"/>
    <w:rsid w:val="00A83340"/>
    <w:rsid w:val="00A85615"/>
    <w:rsid w:val="00A862CE"/>
    <w:rsid w:val="00A8786C"/>
    <w:rsid w:val="00A92C89"/>
    <w:rsid w:val="00A96EB3"/>
    <w:rsid w:val="00AA0022"/>
    <w:rsid w:val="00AA04E0"/>
    <w:rsid w:val="00AA1E83"/>
    <w:rsid w:val="00AA23C3"/>
    <w:rsid w:val="00AA4762"/>
    <w:rsid w:val="00AA6A24"/>
    <w:rsid w:val="00AB0649"/>
    <w:rsid w:val="00AB2F3B"/>
    <w:rsid w:val="00AB5837"/>
    <w:rsid w:val="00AC5B2B"/>
    <w:rsid w:val="00AC6095"/>
    <w:rsid w:val="00AD7B16"/>
    <w:rsid w:val="00AE5F0F"/>
    <w:rsid w:val="00AE7841"/>
    <w:rsid w:val="00AF0B03"/>
    <w:rsid w:val="00AF276D"/>
    <w:rsid w:val="00AF680A"/>
    <w:rsid w:val="00B05473"/>
    <w:rsid w:val="00B06B46"/>
    <w:rsid w:val="00B10B99"/>
    <w:rsid w:val="00B120B9"/>
    <w:rsid w:val="00B14106"/>
    <w:rsid w:val="00B1414C"/>
    <w:rsid w:val="00B1548A"/>
    <w:rsid w:val="00B17901"/>
    <w:rsid w:val="00B179A3"/>
    <w:rsid w:val="00B30F67"/>
    <w:rsid w:val="00B32C30"/>
    <w:rsid w:val="00B32E95"/>
    <w:rsid w:val="00B426ED"/>
    <w:rsid w:val="00B51956"/>
    <w:rsid w:val="00B56949"/>
    <w:rsid w:val="00B6311F"/>
    <w:rsid w:val="00B64EDF"/>
    <w:rsid w:val="00B656FE"/>
    <w:rsid w:val="00B703B5"/>
    <w:rsid w:val="00B748A1"/>
    <w:rsid w:val="00B74BEA"/>
    <w:rsid w:val="00B76EF3"/>
    <w:rsid w:val="00B81159"/>
    <w:rsid w:val="00B82074"/>
    <w:rsid w:val="00B82FE2"/>
    <w:rsid w:val="00B846BE"/>
    <w:rsid w:val="00BA11BC"/>
    <w:rsid w:val="00BA1728"/>
    <w:rsid w:val="00BA2AAC"/>
    <w:rsid w:val="00BA58B5"/>
    <w:rsid w:val="00BB0219"/>
    <w:rsid w:val="00BB62A5"/>
    <w:rsid w:val="00BB7326"/>
    <w:rsid w:val="00BC1C28"/>
    <w:rsid w:val="00BC3A78"/>
    <w:rsid w:val="00BC4F38"/>
    <w:rsid w:val="00BD50A7"/>
    <w:rsid w:val="00BD54E5"/>
    <w:rsid w:val="00BD590D"/>
    <w:rsid w:val="00BE092A"/>
    <w:rsid w:val="00BE24D1"/>
    <w:rsid w:val="00BF1A7E"/>
    <w:rsid w:val="00BF1B84"/>
    <w:rsid w:val="00BF1D35"/>
    <w:rsid w:val="00BF22BF"/>
    <w:rsid w:val="00BF41A5"/>
    <w:rsid w:val="00BF4FB5"/>
    <w:rsid w:val="00C06E70"/>
    <w:rsid w:val="00C07E82"/>
    <w:rsid w:val="00C120E3"/>
    <w:rsid w:val="00C146A9"/>
    <w:rsid w:val="00C261C2"/>
    <w:rsid w:val="00C3320C"/>
    <w:rsid w:val="00C3328E"/>
    <w:rsid w:val="00C33333"/>
    <w:rsid w:val="00C407BD"/>
    <w:rsid w:val="00C45607"/>
    <w:rsid w:val="00C50C8B"/>
    <w:rsid w:val="00C52DBF"/>
    <w:rsid w:val="00C5385F"/>
    <w:rsid w:val="00C560B3"/>
    <w:rsid w:val="00C63BCA"/>
    <w:rsid w:val="00C65B6E"/>
    <w:rsid w:val="00C660A6"/>
    <w:rsid w:val="00C6667F"/>
    <w:rsid w:val="00C804B0"/>
    <w:rsid w:val="00C81ED2"/>
    <w:rsid w:val="00C9041D"/>
    <w:rsid w:val="00C90F75"/>
    <w:rsid w:val="00C95113"/>
    <w:rsid w:val="00CA1D43"/>
    <w:rsid w:val="00CA7CA6"/>
    <w:rsid w:val="00CB29E2"/>
    <w:rsid w:val="00CB5689"/>
    <w:rsid w:val="00CC36FB"/>
    <w:rsid w:val="00CC3E8A"/>
    <w:rsid w:val="00CC4A30"/>
    <w:rsid w:val="00CC6956"/>
    <w:rsid w:val="00CC6FEC"/>
    <w:rsid w:val="00CD7B47"/>
    <w:rsid w:val="00CE0F1C"/>
    <w:rsid w:val="00CE59F7"/>
    <w:rsid w:val="00CE6D87"/>
    <w:rsid w:val="00CE785E"/>
    <w:rsid w:val="00D028B1"/>
    <w:rsid w:val="00D063E7"/>
    <w:rsid w:val="00D11D8C"/>
    <w:rsid w:val="00D156DD"/>
    <w:rsid w:val="00D16EE6"/>
    <w:rsid w:val="00D31540"/>
    <w:rsid w:val="00D33345"/>
    <w:rsid w:val="00D35677"/>
    <w:rsid w:val="00D40A43"/>
    <w:rsid w:val="00D46C3D"/>
    <w:rsid w:val="00D47F65"/>
    <w:rsid w:val="00D56583"/>
    <w:rsid w:val="00D568C6"/>
    <w:rsid w:val="00D62DC5"/>
    <w:rsid w:val="00D70DA7"/>
    <w:rsid w:val="00D71A5C"/>
    <w:rsid w:val="00D72E26"/>
    <w:rsid w:val="00D73564"/>
    <w:rsid w:val="00D74063"/>
    <w:rsid w:val="00D756A0"/>
    <w:rsid w:val="00D758FF"/>
    <w:rsid w:val="00D905FC"/>
    <w:rsid w:val="00D911A1"/>
    <w:rsid w:val="00D932C4"/>
    <w:rsid w:val="00D95416"/>
    <w:rsid w:val="00D9722D"/>
    <w:rsid w:val="00DA05A4"/>
    <w:rsid w:val="00DB43F0"/>
    <w:rsid w:val="00DB4D96"/>
    <w:rsid w:val="00DC444B"/>
    <w:rsid w:val="00DC69D3"/>
    <w:rsid w:val="00DC6E7B"/>
    <w:rsid w:val="00DD0090"/>
    <w:rsid w:val="00DD0439"/>
    <w:rsid w:val="00DD3D18"/>
    <w:rsid w:val="00DD4E0C"/>
    <w:rsid w:val="00DD5BD9"/>
    <w:rsid w:val="00DD6527"/>
    <w:rsid w:val="00DD6C1C"/>
    <w:rsid w:val="00DE0D4B"/>
    <w:rsid w:val="00DE1ACD"/>
    <w:rsid w:val="00DE24F9"/>
    <w:rsid w:val="00DE4806"/>
    <w:rsid w:val="00DE570A"/>
    <w:rsid w:val="00DF01B4"/>
    <w:rsid w:val="00DF449C"/>
    <w:rsid w:val="00DF455C"/>
    <w:rsid w:val="00DF77B4"/>
    <w:rsid w:val="00E014BF"/>
    <w:rsid w:val="00E0191E"/>
    <w:rsid w:val="00E11EE6"/>
    <w:rsid w:val="00E12728"/>
    <w:rsid w:val="00E127CA"/>
    <w:rsid w:val="00E1466B"/>
    <w:rsid w:val="00E2177C"/>
    <w:rsid w:val="00E31946"/>
    <w:rsid w:val="00E325B3"/>
    <w:rsid w:val="00E330E1"/>
    <w:rsid w:val="00E33D03"/>
    <w:rsid w:val="00E3428F"/>
    <w:rsid w:val="00E41E3D"/>
    <w:rsid w:val="00E42288"/>
    <w:rsid w:val="00E430DA"/>
    <w:rsid w:val="00E4763A"/>
    <w:rsid w:val="00E6236A"/>
    <w:rsid w:val="00E62797"/>
    <w:rsid w:val="00E62E73"/>
    <w:rsid w:val="00E66137"/>
    <w:rsid w:val="00E70CDB"/>
    <w:rsid w:val="00E71C06"/>
    <w:rsid w:val="00E766E2"/>
    <w:rsid w:val="00E86695"/>
    <w:rsid w:val="00E912C7"/>
    <w:rsid w:val="00E934C4"/>
    <w:rsid w:val="00E93542"/>
    <w:rsid w:val="00EA2E50"/>
    <w:rsid w:val="00EA5F3A"/>
    <w:rsid w:val="00EB5EE3"/>
    <w:rsid w:val="00EC03BC"/>
    <w:rsid w:val="00EC0618"/>
    <w:rsid w:val="00EC06D6"/>
    <w:rsid w:val="00EC1AAC"/>
    <w:rsid w:val="00ED1B17"/>
    <w:rsid w:val="00ED1BEA"/>
    <w:rsid w:val="00ED5F83"/>
    <w:rsid w:val="00ED7C09"/>
    <w:rsid w:val="00EE313A"/>
    <w:rsid w:val="00EF4B6E"/>
    <w:rsid w:val="00EF6F78"/>
    <w:rsid w:val="00EF7A21"/>
    <w:rsid w:val="00F01793"/>
    <w:rsid w:val="00F0319A"/>
    <w:rsid w:val="00F05D3E"/>
    <w:rsid w:val="00F05E27"/>
    <w:rsid w:val="00F0738E"/>
    <w:rsid w:val="00F16CE5"/>
    <w:rsid w:val="00F22DE5"/>
    <w:rsid w:val="00F23033"/>
    <w:rsid w:val="00F3580B"/>
    <w:rsid w:val="00F4059D"/>
    <w:rsid w:val="00F40EB2"/>
    <w:rsid w:val="00F41341"/>
    <w:rsid w:val="00F41D41"/>
    <w:rsid w:val="00F437DC"/>
    <w:rsid w:val="00F461CD"/>
    <w:rsid w:val="00F535D1"/>
    <w:rsid w:val="00F61DF9"/>
    <w:rsid w:val="00F66E6E"/>
    <w:rsid w:val="00F840FA"/>
    <w:rsid w:val="00F86341"/>
    <w:rsid w:val="00F90610"/>
    <w:rsid w:val="00F91962"/>
    <w:rsid w:val="00F9369E"/>
    <w:rsid w:val="00F94DAE"/>
    <w:rsid w:val="00F951DB"/>
    <w:rsid w:val="00F96DFE"/>
    <w:rsid w:val="00F970FB"/>
    <w:rsid w:val="00FA2ECC"/>
    <w:rsid w:val="00FD29D5"/>
    <w:rsid w:val="00FD38A6"/>
    <w:rsid w:val="00FE1304"/>
    <w:rsid w:val="00FE1845"/>
    <w:rsid w:val="00FF3843"/>
    <w:rsid w:val="00FF63EF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C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22B78"/>
    <w:pPr>
      <w:keepNext/>
      <w:jc w:val="center"/>
      <w:outlineLvl w:val="2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D5BC5"/>
    <w:pPr>
      <w:jc w:val="both"/>
    </w:pPr>
  </w:style>
  <w:style w:type="character" w:customStyle="1" w:styleId="a4">
    <w:name w:val="Основной текст Знак"/>
    <w:link w:val="a3"/>
    <w:locked/>
    <w:rsid w:val="004D5BC5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4D5BC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22B78"/>
    <w:rPr>
      <w:b/>
      <w:bCs/>
      <w:sz w:val="24"/>
      <w:szCs w:val="24"/>
    </w:rPr>
  </w:style>
  <w:style w:type="paragraph" w:styleId="a6">
    <w:name w:val="Balloon Text"/>
    <w:basedOn w:val="a"/>
    <w:link w:val="a7"/>
    <w:rsid w:val="008B54C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B54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6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C6644"/>
  </w:style>
  <w:style w:type="paragraph" w:styleId="aa">
    <w:name w:val="footer"/>
    <w:basedOn w:val="a"/>
    <w:link w:val="ab"/>
    <w:uiPriority w:val="99"/>
    <w:unhideWhenUsed/>
    <w:rsid w:val="002C66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C6644"/>
  </w:style>
  <w:style w:type="table" w:customStyle="1" w:styleId="1">
    <w:name w:val="Сетка таблицы1"/>
    <w:basedOn w:val="a1"/>
    <w:next w:val="a5"/>
    <w:uiPriority w:val="59"/>
    <w:rsid w:val="002C66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13987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2023-08-29T14:35:00Z</cp:lastPrinted>
  <dcterms:created xsi:type="dcterms:W3CDTF">2023-09-27T08:44:00Z</dcterms:created>
  <dcterms:modified xsi:type="dcterms:W3CDTF">2023-09-27T08:44:00Z</dcterms:modified>
</cp:coreProperties>
</file>